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6B70C8" w:rsidRDefault="008860B8">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FA7FD0" w:rsidRDefault="00FA7FD0" w:rsidP="00D44968">
            <w:pPr>
              <w:suppressLineNumbers/>
              <w:rPr>
                <w:rtl/>
              </w:rPr>
            </w:pPr>
          </w:p>
          <w:p w:rsidR="0094424E" w:rsidRDefault="004C1FC5" w:rsidP="00FE09E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FE09EC">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א אודי חברה קבלנית לבנין בע</w:t>
                </w:r>
                <w:r w:rsidR="00D238D3">
                  <w:rPr>
                    <w:rFonts w:ascii="Arial" w:hAnsi="Arial" w:hint="cs"/>
                    <w:b/>
                    <w:bCs/>
                    <w:noProof w:val="0"/>
                    <w:sz w:val="26"/>
                    <w:szCs w:val="26"/>
                    <w:rtl/>
                  </w:rPr>
                  <w:t>"</w:t>
                </w:r>
                <w:r w:rsidR="00FE09EC">
                  <w:rPr>
                    <w:rFonts w:ascii="Arial" w:hAnsi="Arial"/>
                    <w:b/>
                    <w:bCs/>
                    <w:noProof w:val="0"/>
                    <w:sz w:val="26"/>
                    <w:szCs w:val="26"/>
                    <w:rtl/>
                  </w:rPr>
                  <w:t>מ</w:t>
                </w:r>
              </w:sdtContent>
            </w:sdt>
          </w:p>
          <w:p w:rsidR="0094424E" w:rsidRDefault="004C1FC5" w:rsidP="00FE09EC">
            <w:pPr>
              <w:suppressLineNumbers/>
              <w:rPr>
                <w:b/>
                <w:bCs/>
                <w:noProof w:val="0"/>
                <w:sz w:val="26"/>
                <w:szCs w:val="26"/>
              </w:rPr>
            </w:pPr>
            <w:sdt>
              <w:sdtPr>
                <w:rPr>
                  <w:rFonts w:ascii="Arial" w:hAnsi="Arial"/>
                  <w:b/>
                  <w:bCs/>
                  <w:noProof w:val="0"/>
                  <w:sz w:val="26"/>
                  <w:szCs w:val="26"/>
                  <w:rtl/>
                </w:rPr>
                <w:alias w:val="1462"/>
                <w:tag w:val="1462"/>
                <w:id w:val="770978662"/>
                <w:text w:multiLine="1"/>
              </w:sdtPr>
              <w:sdtEndPr/>
              <w:sdtContent>
                <w:r w:rsidR="00FE09EC">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273487505"/>
                <w:placeholder>
                  <w:docPart w:val="1C8A38705F7143EA87FF3DEB2C34E7E5"/>
                </w:placeholder>
                <w:text w:multiLine="1"/>
              </w:sdtPr>
              <w:sdtEndPr/>
              <w:sdtContent>
                <w:r w:rsidR="00FE09EC">
                  <w:rPr>
                    <w:rFonts w:ascii="Arial" w:hAnsi="Arial"/>
                    <w:b/>
                    <w:bCs/>
                    <w:noProof w:val="0"/>
                    <w:sz w:val="26"/>
                    <w:szCs w:val="26"/>
                    <w:rtl/>
                  </w:rPr>
                  <w:t>אודי אגא</w:t>
                </w:r>
                <w:r w:rsidR="00C37DC5">
                  <w:rPr>
                    <w:rFonts w:ascii="Arial" w:hAnsi="Arial"/>
                    <w:b/>
                    <w:bCs/>
                    <w:noProof w:val="0"/>
                    <w:sz w:val="26"/>
                    <w:szCs w:val="26"/>
                    <w:rtl/>
                  </w:rPr>
                  <w:br/>
                </w:r>
                <w:r w:rsidR="00C37DC5">
                  <w:rPr>
                    <w:rFonts w:ascii="Arial" w:hAnsi="Arial" w:hint="cs"/>
                    <w:b/>
                    <w:bCs/>
                    <w:noProof w:val="0"/>
                    <w:sz w:val="26"/>
                    <w:szCs w:val="26"/>
                    <w:rtl/>
                  </w:rPr>
                  <w:t>באמצעות עו"ד אלברט הראל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C1FC5" w:rsidP="00D44968">
            <w:pPr>
              <w:suppressLineNumbers/>
              <w:rPr>
                <w:rFonts w:ascii="Arial" w:hAnsi="Arial"/>
                <w:b/>
                <w:bCs/>
                <w:noProof w:val="0"/>
                <w:sz w:val="26"/>
                <w:szCs w:val="26"/>
              </w:rPr>
            </w:pPr>
            <w:sdt>
              <w:sdtPr>
                <w:rPr>
                  <w:rtl/>
                </w:rPr>
                <w:alias w:val="1184"/>
                <w:tag w:val="1184"/>
                <w:id w:val="-340621022"/>
                <w:text w:multiLine="1"/>
              </w:sdtPr>
              <w:sdtEndPr/>
              <w:sdtContent>
                <w:r w:rsidR="00C37DC5">
                  <w:rPr>
                    <w:rFonts w:ascii="Arial" w:hAnsi="Arial"/>
                    <w:b/>
                    <w:bCs/>
                    <w:noProof w:val="0"/>
                    <w:sz w:val="26"/>
                    <w:szCs w:val="26"/>
                    <w:rtl/>
                  </w:rPr>
                  <w:t>משיב</w:t>
                </w:r>
              </w:sdtContent>
            </w:sdt>
          </w:p>
        </w:tc>
        <w:tc>
          <w:tcPr>
            <w:tcW w:w="5571" w:type="dxa"/>
          </w:tcPr>
          <w:p w:rsidR="00CF6BB7" w:rsidRPr="00CD516B" w:rsidRDefault="004C1FC5" w:rsidP="00D238D3">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D238D3">
                  <w:rPr>
                    <w:rFonts w:ascii="Arial" w:hAnsi="Arial"/>
                    <w:b/>
                    <w:bCs/>
                    <w:noProof w:val="0"/>
                    <w:sz w:val="26"/>
                    <w:szCs w:val="26"/>
                    <w:rtl/>
                  </w:rPr>
                  <w:t xml:space="preserve">מנהל מס ערך מוסף – פשיעה </w:t>
                </w:r>
                <w:r w:rsidR="00D238D3">
                  <w:rPr>
                    <w:rFonts w:ascii="Arial" w:hAnsi="Arial" w:hint="cs"/>
                    <w:b/>
                    <w:bCs/>
                    <w:noProof w:val="0"/>
                    <w:sz w:val="26"/>
                    <w:szCs w:val="26"/>
                    <w:rtl/>
                  </w:rPr>
                  <w:t>חמורה</w:t>
                </w:r>
                <w:r w:rsidR="00C37DC5">
                  <w:rPr>
                    <w:rFonts w:ascii="Arial" w:hAnsi="Arial"/>
                    <w:b/>
                    <w:bCs/>
                    <w:noProof w:val="0"/>
                    <w:sz w:val="26"/>
                    <w:szCs w:val="26"/>
                    <w:rtl/>
                  </w:rPr>
                  <w:br/>
                </w:r>
                <w:r w:rsidR="00C37DC5">
                  <w:rPr>
                    <w:rFonts w:ascii="Arial" w:hAnsi="Arial" w:hint="cs"/>
                    <w:b/>
                    <w:bCs/>
                    <w:noProof w:val="0"/>
                    <w:sz w:val="26"/>
                    <w:szCs w:val="26"/>
                    <w:rtl/>
                  </w:rPr>
                  <w:t>באמצעות עו"ד ענבל אבלין בר-און</w:t>
                </w:r>
              </w:sdtContent>
            </w:sdt>
          </w:p>
        </w:tc>
      </w:tr>
      <w:tr w:rsidR="00694556" w:rsidRPr="00DE1E7D">
        <w:trPr>
          <w:jc w:val="center"/>
        </w:trPr>
        <w:tc>
          <w:tcPr>
            <w:tcW w:w="8820" w:type="dxa"/>
            <w:gridSpan w:val="3"/>
          </w:tcPr>
          <w:p w:rsidR="00D238D3" w:rsidRDefault="00D238D3">
            <w:pPr>
              <w:bidi w:val="0"/>
              <w:jc w:val="center"/>
              <w:rPr>
                <w:rFonts w:ascii="Arial" w:hAnsi="Arial"/>
                <w:b/>
                <w:bCs/>
                <w:noProof w:val="0"/>
                <w:sz w:val="28"/>
                <w:szCs w:val="28"/>
                <w:u w:val="single"/>
                <w:rtl/>
              </w:rPr>
            </w:pPr>
          </w:p>
          <w:p w:rsidR="00D238D3" w:rsidRDefault="00D238D3" w:rsidP="00D238D3">
            <w:pPr>
              <w:bidi w:val="0"/>
              <w:jc w:val="center"/>
              <w:rPr>
                <w:rFonts w:ascii="Arial" w:hAnsi="Arial"/>
                <w:b/>
                <w:bCs/>
                <w:noProof w:val="0"/>
                <w:sz w:val="28"/>
                <w:szCs w:val="28"/>
                <w:u w:val="single"/>
                <w:rtl/>
              </w:rPr>
            </w:pPr>
          </w:p>
          <w:p w:rsidR="00694556" w:rsidRDefault="00180519" w:rsidP="00D238D3">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238D3" w:rsidRDefault="00D238D3" w:rsidP="00D238D3">
      <w:pPr>
        <w:pStyle w:val="ad"/>
        <w:numPr>
          <w:ilvl w:val="0"/>
          <w:numId w:val="1"/>
        </w:numPr>
        <w:spacing w:before="240" w:after="0" w:line="360" w:lineRule="auto"/>
        <w:ind w:hanging="357"/>
        <w:contextualSpacing w:val="0"/>
        <w:jc w:val="both"/>
        <w:rPr>
          <w:rFonts w:ascii="David" w:hAnsi="David" w:cs="David"/>
          <w:sz w:val="26"/>
          <w:szCs w:val="26"/>
        </w:rPr>
      </w:pPr>
      <w:bookmarkStart w:id="1" w:name="NGCSBookmark"/>
      <w:bookmarkEnd w:id="1"/>
      <w:r>
        <w:rPr>
          <w:rFonts w:ascii="David" w:hAnsi="David" w:cs="David"/>
          <w:sz w:val="26"/>
          <w:szCs w:val="26"/>
          <w:rtl/>
        </w:rPr>
        <w:t xml:space="preserve">המערערים, מר אודי אגא, והחברה שבבעלותו, חברת א. אודי חברה קבלנית בע"מ, הגישו ערעור על החלטות המשיב להטיל עליהם כפל מס לפי סעיף 50(א) ולפי סעיף 50(א1) (לפי העניין) לחוק מס ערך מוסף, התשל"ו-1975 (להלן: </w:t>
      </w:r>
      <w:r>
        <w:rPr>
          <w:rFonts w:ascii="David" w:hAnsi="David" w:cs="David"/>
          <w:b/>
          <w:bCs/>
          <w:sz w:val="26"/>
          <w:szCs w:val="26"/>
          <w:rtl/>
        </w:rPr>
        <w:t>החוק</w:t>
      </w:r>
      <w:r>
        <w:rPr>
          <w:rFonts w:ascii="David" w:hAnsi="David" w:cs="David"/>
          <w:sz w:val="26"/>
          <w:szCs w:val="26"/>
          <w:rtl/>
        </w:rPr>
        <w:t>)</w:t>
      </w:r>
      <w:r w:rsidR="00C37DC5">
        <w:rPr>
          <w:rFonts w:ascii="David" w:hAnsi="David" w:cs="David" w:hint="cs"/>
          <w:sz w:val="26"/>
          <w:szCs w:val="26"/>
          <w:rtl/>
        </w:rPr>
        <w:t>,</w:t>
      </w:r>
      <w:r>
        <w:rPr>
          <w:rFonts w:ascii="David" w:hAnsi="David" w:cs="David"/>
          <w:sz w:val="26"/>
          <w:szCs w:val="26"/>
          <w:rtl/>
        </w:rPr>
        <w:t xml:space="preserve"> וכן על החלטתו לפסול את ספרי המערערת לפי סעיף 77ב לחוק ולהטיל עליה קנס לפי סעיף 95 לחוק. (להלן: </w:t>
      </w:r>
      <w:r w:rsidRPr="00C37DC5">
        <w:rPr>
          <w:rFonts w:ascii="David" w:hAnsi="David" w:cs="David"/>
          <w:b/>
          <w:bCs/>
          <w:sz w:val="26"/>
          <w:szCs w:val="26"/>
          <w:rtl/>
        </w:rPr>
        <w:t>ההחלטות</w:t>
      </w:r>
      <w:r>
        <w:rPr>
          <w:rFonts w:ascii="David" w:hAnsi="David" w:cs="David"/>
          <w:sz w:val="26"/>
          <w:szCs w:val="26"/>
          <w:rtl/>
        </w:rPr>
        <w:t>). זאת לאור טענת המשיב כי המערער הוציא שלא כדין 71 מסמכים הנחזים כחשבוניות מס וכי המערערת קיזזה שלא כדין 53 מסמכים הנחזים כחשבוניות מס.</w:t>
      </w:r>
    </w:p>
    <w:p w:rsidR="00D238D3" w:rsidRDefault="00D238D3" w:rsidP="00C37DC5">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t xml:space="preserve">בכתב הערעור העלו המערערים טענה מקדמית </w:t>
      </w:r>
      <w:r w:rsidR="00C37DC5">
        <w:rPr>
          <w:rFonts w:ascii="David" w:hAnsi="David" w:cs="David" w:hint="cs"/>
          <w:sz w:val="26"/>
          <w:szCs w:val="26"/>
          <w:rtl/>
        </w:rPr>
        <w:t xml:space="preserve">של </w:t>
      </w:r>
      <w:r w:rsidR="00C37DC5" w:rsidRPr="00C37DC5">
        <w:rPr>
          <w:rFonts w:ascii="David" w:hAnsi="David" w:cs="David" w:hint="cs"/>
          <w:b/>
          <w:bCs/>
          <w:sz w:val="26"/>
          <w:szCs w:val="26"/>
          <w:rtl/>
        </w:rPr>
        <w:t>התיישנות</w:t>
      </w:r>
      <w:r w:rsidR="00C37DC5">
        <w:rPr>
          <w:rFonts w:ascii="David" w:hAnsi="David" w:cs="David" w:hint="cs"/>
          <w:sz w:val="26"/>
          <w:szCs w:val="26"/>
          <w:rtl/>
        </w:rPr>
        <w:t xml:space="preserve"> </w:t>
      </w:r>
      <w:r>
        <w:rPr>
          <w:rFonts w:ascii="David" w:hAnsi="David" w:cs="David"/>
          <w:sz w:val="26"/>
          <w:szCs w:val="26"/>
          <w:rtl/>
        </w:rPr>
        <w:t>ולפיה דינן של ההחלטות להתבטל</w:t>
      </w:r>
      <w:r w:rsidR="00C37DC5">
        <w:rPr>
          <w:rFonts w:ascii="David" w:hAnsi="David" w:cs="David" w:hint="cs"/>
          <w:sz w:val="26"/>
          <w:szCs w:val="26"/>
          <w:rtl/>
        </w:rPr>
        <w:t xml:space="preserve"> שכן</w:t>
      </w:r>
      <w:r>
        <w:rPr>
          <w:rFonts w:ascii="David" w:hAnsi="David" w:cs="David"/>
          <w:sz w:val="26"/>
          <w:szCs w:val="26"/>
          <w:rtl/>
        </w:rPr>
        <w:t xml:space="preserve"> יש לראות בהשגת המערערים כאילו התקבלה. </w:t>
      </w:r>
    </w:p>
    <w:p w:rsidR="00D238D3" w:rsidRDefault="00C37DC5" w:rsidP="00C37DC5">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t>ב</w:t>
      </w:r>
      <w:r w:rsidR="00D238D3">
        <w:rPr>
          <w:rFonts w:ascii="David" w:hAnsi="David" w:cs="David"/>
          <w:sz w:val="26"/>
          <w:szCs w:val="26"/>
          <w:rtl/>
        </w:rPr>
        <w:t xml:space="preserve">החלטתי בפרוטוקול בתום הדיון מיום 10.7.2022 נקבע כי תידון תחילה טענתם המקדמית של המערערים בסוגיית ההתיישנות והצדדים הגישו סיכומים בעניין זה. </w:t>
      </w:r>
    </w:p>
    <w:p w:rsidR="00D238D3" w:rsidRDefault="00D238D3" w:rsidP="00D238D3">
      <w:pPr>
        <w:pStyle w:val="ad"/>
        <w:numPr>
          <w:ilvl w:val="0"/>
          <w:numId w:val="1"/>
        </w:numPr>
        <w:spacing w:before="240" w:after="0" w:line="360" w:lineRule="auto"/>
        <w:ind w:hanging="357"/>
        <w:contextualSpacing w:val="0"/>
        <w:jc w:val="both"/>
        <w:rPr>
          <w:rFonts w:ascii="David" w:hAnsi="David" w:cs="David"/>
          <w:sz w:val="26"/>
          <w:szCs w:val="26"/>
          <w:rtl/>
        </w:rPr>
      </w:pPr>
      <w:r>
        <w:rPr>
          <w:rFonts w:ascii="David" w:hAnsi="David" w:cs="David"/>
          <w:sz w:val="26"/>
          <w:szCs w:val="26"/>
          <w:rtl/>
        </w:rPr>
        <w:t xml:space="preserve">העובדות הרלוונטיות להכרעה בטענת ההתיישנות </w:t>
      </w:r>
      <w:r w:rsidR="00C37DC5">
        <w:rPr>
          <w:rFonts w:ascii="David" w:hAnsi="David" w:cs="David" w:hint="cs"/>
          <w:sz w:val="26"/>
          <w:szCs w:val="26"/>
          <w:rtl/>
        </w:rPr>
        <w:t xml:space="preserve">שהעלו המערערים </w:t>
      </w:r>
      <w:r>
        <w:rPr>
          <w:rFonts w:ascii="David" w:hAnsi="David" w:cs="David"/>
          <w:sz w:val="26"/>
          <w:szCs w:val="26"/>
          <w:rtl/>
        </w:rPr>
        <w:t>הן אלו:</w:t>
      </w:r>
    </w:p>
    <w:p w:rsidR="009A6E70" w:rsidRDefault="00D238D3" w:rsidP="009A6E70">
      <w:pPr>
        <w:pStyle w:val="ad"/>
        <w:numPr>
          <w:ilvl w:val="1"/>
          <w:numId w:val="1"/>
        </w:numPr>
        <w:spacing w:before="240" w:after="0" w:line="360" w:lineRule="auto"/>
        <w:ind w:left="1076" w:hanging="357"/>
        <w:contextualSpacing w:val="0"/>
        <w:jc w:val="both"/>
        <w:rPr>
          <w:rFonts w:ascii="David" w:hAnsi="David" w:cs="David"/>
          <w:sz w:val="26"/>
          <w:szCs w:val="26"/>
        </w:rPr>
      </w:pPr>
      <w:r>
        <w:rPr>
          <w:rFonts w:ascii="David" w:hAnsi="David" w:cs="David"/>
          <w:sz w:val="26"/>
          <w:szCs w:val="26"/>
          <w:rtl/>
        </w:rPr>
        <w:t xml:space="preserve">המשיב ניהל הליכי חקירה וביקורת כנגד המערערים, ובעקבות זאת שלח ביום 9.1.2019 מכתב למערער הנושא את הכותרת </w:t>
      </w:r>
      <w:r>
        <w:rPr>
          <w:rFonts w:ascii="David" w:hAnsi="David" w:cs="David"/>
          <w:b/>
          <w:bCs/>
          <w:sz w:val="26"/>
          <w:szCs w:val="26"/>
          <w:rtl/>
        </w:rPr>
        <w:t>"הזמנה לשימוע/בירור כפל מס עסקאות בגין הוצאת חשבוניות"</w:t>
      </w:r>
      <w:r>
        <w:rPr>
          <w:rFonts w:ascii="David" w:hAnsi="David" w:cs="David"/>
          <w:sz w:val="26"/>
          <w:szCs w:val="26"/>
          <w:rtl/>
        </w:rPr>
        <w:t xml:space="preserve"> ו</w:t>
      </w:r>
      <w:r w:rsidR="00C37DC5">
        <w:rPr>
          <w:rFonts w:ascii="David" w:hAnsi="David" w:cs="David" w:hint="cs"/>
          <w:sz w:val="26"/>
          <w:szCs w:val="26"/>
          <w:rtl/>
        </w:rPr>
        <w:t xml:space="preserve">כן </w:t>
      </w:r>
      <w:r>
        <w:rPr>
          <w:rFonts w:ascii="David" w:hAnsi="David" w:cs="David"/>
          <w:sz w:val="26"/>
          <w:szCs w:val="26"/>
          <w:rtl/>
        </w:rPr>
        <w:t xml:space="preserve">מכתב למערערת הנושא את הכותרת </w:t>
      </w:r>
      <w:r>
        <w:rPr>
          <w:rFonts w:ascii="David" w:hAnsi="David" w:cs="David"/>
          <w:b/>
          <w:bCs/>
          <w:sz w:val="26"/>
          <w:szCs w:val="26"/>
          <w:rtl/>
        </w:rPr>
        <w:t>"הזמנה לשימוע כפל מס תשומות ופסילת ספרים"</w:t>
      </w:r>
      <w:r>
        <w:rPr>
          <w:rFonts w:ascii="David" w:hAnsi="David" w:cs="David"/>
          <w:sz w:val="26"/>
          <w:szCs w:val="26"/>
          <w:rtl/>
        </w:rPr>
        <w:t xml:space="preserve">. </w:t>
      </w:r>
    </w:p>
    <w:p w:rsidR="00D238D3" w:rsidRDefault="00D238D3" w:rsidP="009A6E70">
      <w:pPr>
        <w:pStyle w:val="ad"/>
        <w:spacing w:before="240" w:after="0" w:line="360" w:lineRule="auto"/>
        <w:ind w:left="1076"/>
        <w:contextualSpacing w:val="0"/>
        <w:jc w:val="both"/>
        <w:rPr>
          <w:rFonts w:ascii="David" w:hAnsi="David" w:cs="David"/>
          <w:sz w:val="26"/>
          <w:szCs w:val="26"/>
          <w:rtl/>
        </w:rPr>
      </w:pPr>
      <w:r>
        <w:rPr>
          <w:rFonts w:ascii="David" w:hAnsi="David" w:cs="David"/>
          <w:sz w:val="26"/>
          <w:szCs w:val="26"/>
          <w:rtl/>
        </w:rPr>
        <w:lastRenderedPageBreak/>
        <w:t>במכתב</w:t>
      </w:r>
      <w:r w:rsidR="009A6E70">
        <w:rPr>
          <w:rFonts w:ascii="David" w:hAnsi="David" w:cs="David" w:hint="cs"/>
          <w:sz w:val="26"/>
          <w:szCs w:val="26"/>
          <w:rtl/>
        </w:rPr>
        <w:t>יו אלה</w:t>
      </w:r>
      <w:r>
        <w:rPr>
          <w:rFonts w:ascii="David" w:hAnsi="David" w:cs="David"/>
          <w:sz w:val="26"/>
          <w:szCs w:val="26"/>
          <w:rtl/>
        </w:rPr>
        <w:t xml:space="preserve"> הודיע המשיב על כוונתו להטיל כפל מס וקנס ולפסול את הספרים נוכח חשד להוצאה וקיזוז של חשבוניות פיקטיביות, והזמין את המערערים לשימוע בפניו בתאריך הנקוב במכתב (נספח 1 לסיכומי המערערים; להלן: </w:t>
      </w:r>
      <w:r>
        <w:rPr>
          <w:rFonts w:ascii="David" w:hAnsi="David" w:cs="David"/>
          <w:b/>
          <w:bCs/>
          <w:sz w:val="26"/>
          <w:szCs w:val="26"/>
          <w:rtl/>
        </w:rPr>
        <w:t>מכתב</w:t>
      </w:r>
      <w:r w:rsidR="009A6E70">
        <w:rPr>
          <w:rFonts w:ascii="David" w:hAnsi="David" w:cs="David" w:hint="cs"/>
          <w:b/>
          <w:bCs/>
          <w:sz w:val="26"/>
          <w:szCs w:val="26"/>
          <w:rtl/>
        </w:rPr>
        <w:t>י</w:t>
      </w:r>
      <w:r>
        <w:rPr>
          <w:rFonts w:ascii="David" w:hAnsi="David" w:cs="David"/>
          <w:b/>
          <w:bCs/>
          <w:sz w:val="26"/>
          <w:szCs w:val="26"/>
          <w:rtl/>
        </w:rPr>
        <w:t xml:space="preserve"> המשיב</w:t>
      </w:r>
      <w:r>
        <w:rPr>
          <w:rFonts w:ascii="David" w:hAnsi="David" w:cs="David"/>
          <w:sz w:val="26"/>
          <w:szCs w:val="26"/>
          <w:rtl/>
        </w:rPr>
        <w:t>).</w:t>
      </w:r>
    </w:p>
    <w:p w:rsidR="00D238D3" w:rsidRDefault="00D238D3" w:rsidP="009A6E70">
      <w:pPr>
        <w:pStyle w:val="ad"/>
        <w:numPr>
          <w:ilvl w:val="1"/>
          <w:numId w:val="1"/>
        </w:numPr>
        <w:spacing w:before="240" w:after="0" w:line="360" w:lineRule="auto"/>
        <w:ind w:left="1076" w:hanging="357"/>
        <w:contextualSpacing w:val="0"/>
        <w:jc w:val="both"/>
        <w:rPr>
          <w:rFonts w:ascii="David" w:hAnsi="David" w:cs="David"/>
          <w:sz w:val="26"/>
          <w:szCs w:val="26"/>
          <w:rtl/>
        </w:rPr>
      </w:pPr>
      <w:r>
        <w:rPr>
          <w:rFonts w:ascii="David" w:hAnsi="David" w:cs="David"/>
          <w:sz w:val="26"/>
          <w:szCs w:val="26"/>
          <w:rtl/>
        </w:rPr>
        <w:t xml:space="preserve"> בתאריך 7.2.2019 שלח ב"כ המערערים למשיב מכתב הנושא את הכותרת: </w:t>
      </w:r>
      <w:r>
        <w:rPr>
          <w:rFonts w:ascii="David" w:hAnsi="David" w:cs="David"/>
          <w:b/>
          <w:bCs/>
          <w:sz w:val="26"/>
          <w:szCs w:val="26"/>
          <w:rtl/>
        </w:rPr>
        <w:t>"חברת א.אודי חברה קבלנית בע"מ"</w:t>
      </w:r>
      <w:r>
        <w:rPr>
          <w:rFonts w:ascii="David" w:hAnsi="David" w:cs="David"/>
          <w:sz w:val="26"/>
          <w:szCs w:val="26"/>
          <w:rtl/>
        </w:rPr>
        <w:t xml:space="preserve"> והכולל </w:t>
      </w:r>
      <w:r w:rsidR="009A6E70">
        <w:rPr>
          <w:rFonts w:ascii="David" w:hAnsi="David" w:cs="David" w:hint="cs"/>
          <w:sz w:val="26"/>
          <w:szCs w:val="26"/>
          <w:rtl/>
        </w:rPr>
        <w:t xml:space="preserve">דרישה </w:t>
      </w:r>
      <w:r>
        <w:rPr>
          <w:rFonts w:ascii="David" w:hAnsi="David" w:cs="David"/>
          <w:sz w:val="26"/>
          <w:szCs w:val="26"/>
          <w:rtl/>
        </w:rPr>
        <w:t>לקבלת חומרי חקירה, בקשה לקבלת הסבר ל</w:t>
      </w:r>
      <w:r w:rsidR="009A6E70">
        <w:rPr>
          <w:rFonts w:ascii="David" w:hAnsi="David" w:cs="David" w:hint="cs"/>
          <w:sz w:val="26"/>
          <w:szCs w:val="26"/>
          <w:rtl/>
        </w:rPr>
        <w:t xml:space="preserve">כוונת </w:t>
      </w:r>
      <w:r>
        <w:rPr>
          <w:rFonts w:ascii="David" w:hAnsi="David" w:cs="David"/>
          <w:sz w:val="26"/>
          <w:szCs w:val="26"/>
          <w:rtl/>
        </w:rPr>
        <w:t xml:space="preserve">המשיב להטיל כפל מס וקנס וכן בקשה לתיאום המועד לשימוע (נספח 2 לסיכומי המערערים; להלן: </w:t>
      </w:r>
      <w:r>
        <w:rPr>
          <w:rFonts w:ascii="David" w:hAnsi="David" w:cs="David"/>
          <w:b/>
          <w:bCs/>
          <w:sz w:val="26"/>
          <w:szCs w:val="26"/>
          <w:rtl/>
        </w:rPr>
        <w:t>מכתב המערערים</w:t>
      </w:r>
      <w:r>
        <w:rPr>
          <w:rFonts w:ascii="David" w:hAnsi="David" w:cs="David"/>
          <w:sz w:val="26"/>
          <w:szCs w:val="26"/>
          <w:rtl/>
        </w:rPr>
        <w:t>).</w:t>
      </w:r>
    </w:p>
    <w:p w:rsidR="00D238D3" w:rsidRDefault="00D238D3" w:rsidP="00D238D3">
      <w:pPr>
        <w:pStyle w:val="ad"/>
        <w:numPr>
          <w:ilvl w:val="1"/>
          <w:numId w:val="1"/>
        </w:numPr>
        <w:spacing w:before="240" w:after="0" w:line="360" w:lineRule="auto"/>
        <w:ind w:left="1076" w:hanging="357"/>
        <w:contextualSpacing w:val="0"/>
        <w:jc w:val="both"/>
        <w:rPr>
          <w:rFonts w:ascii="David" w:hAnsi="David" w:cs="David"/>
          <w:sz w:val="26"/>
          <w:szCs w:val="26"/>
        </w:rPr>
      </w:pPr>
      <w:r>
        <w:rPr>
          <w:rFonts w:ascii="David" w:hAnsi="David" w:cs="David"/>
          <w:sz w:val="26"/>
          <w:szCs w:val="26"/>
          <w:rtl/>
        </w:rPr>
        <w:t>בתאריכים 13.8.2019, 2.9.2019, 12.9.2019 ו-22.12.2019 נערכו שימועים בעניינם של המערערים. ההחלטות בדבר הטלת כפל המס, פסילת הספרים והקנס נשלחו למערערים ביום 26.12.2019 (בעניין כפל מס, פסילת ספרים וקנס למערערת) וביום 27.2.2020 (בעניין כפל מס למערער).</w:t>
      </w:r>
    </w:p>
    <w:p w:rsidR="00D238D3" w:rsidRDefault="00D238D3" w:rsidP="009A6E70">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t>המערערים טוענים</w:t>
      </w:r>
      <w:r w:rsidR="009A6E70">
        <w:rPr>
          <w:rFonts w:ascii="David" w:hAnsi="David" w:cs="David" w:hint="cs"/>
          <w:sz w:val="26"/>
          <w:szCs w:val="26"/>
          <w:rtl/>
        </w:rPr>
        <w:t>,</w:t>
      </w:r>
      <w:r>
        <w:rPr>
          <w:rFonts w:ascii="David" w:hAnsi="David" w:cs="David"/>
          <w:sz w:val="26"/>
          <w:szCs w:val="26"/>
          <w:rtl/>
        </w:rPr>
        <w:t xml:space="preserve"> כי מאחר שחלפה תקופה של למעלה משנה מהמועד שבו נשלח</w:t>
      </w:r>
      <w:r w:rsidR="009A6E70">
        <w:rPr>
          <w:rFonts w:ascii="David" w:hAnsi="David" w:cs="David" w:hint="cs"/>
          <w:sz w:val="26"/>
          <w:szCs w:val="26"/>
          <w:rtl/>
        </w:rPr>
        <w:t>ו</w:t>
      </w:r>
      <w:r w:rsidR="009A6E70">
        <w:rPr>
          <w:rFonts w:ascii="David" w:hAnsi="David" w:cs="David"/>
          <w:sz w:val="26"/>
          <w:szCs w:val="26"/>
          <w:rtl/>
        </w:rPr>
        <w:t xml:space="preserve"> אליהם מכתב</w:t>
      </w:r>
      <w:r w:rsidR="009A6E70">
        <w:rPr>
          <w:rFonts w:ascii="David" w:hAnsi="David" w:cs="David" w:hint="cs"/>
          <w:sz w:val="26"/>
          <w:szCs w:val="26"/>
          <w:rtl/>
        </w:rPr>
        <w:t>י</w:t>
      </w:r>
      <w:r>
        <w:rPr>
          <w:rFonts w:ascii="David" w:hAnsi="David" w:cs="David"/>
          <w:sz w:val="26"/>
          <w:szCs w:val="26"/>
          <w:rtl/>
        </w:rPr>
        <w:t xml:space="preserve"> המשיב, וכן למעלה משנה מהמועד שבו שלח בא כוחם את מכתב </w:t>
      </w:r>
      <w:r w:rsidR="009A6E70">
        <w:rPr>
          <w:rFonts w:ascii="David" w:hAnsi="David" w:cs="David" w:hint="cs"/>
          <w:sz w:val="26"/>
          <w:szCs w:val="26"/>
          <w:rtl/>
        </w:rPr>
        <w:t xml:space="preserve">המערערים, </w:t>
      </w:r>
      <w:r>
        <w:rPr>
          <w:rFonts w:ascii="David" w:hAnsi="David" w:cs="David"/>
          <w:sz w:val="26"/>
          <w:szCs w:val="26"/>
          <w:rtl/>
        </w:rPr>
        <w:t xml:space="preserve">ממילא עומדת להם טענת התיישנות ודין ההחלטות להתבטל. זאת כעולה מפסק הדין בע"מ 1334-06-12 </w:t>
      </w:r>
      <w:r>
        <w:rPr>
          <w:rFonts w:ascii="David" w:hAnsi="David" w:cs="David"/>
          <w:b/>
          <w:bCs/>
          <w:sz w:val="26"/>
          <w:szCs w:val="26"/>
          <w:rtl/>
        </w:rPr>
        <w:t xml:space="preserve">ט.ט. טכנו חשמל טכנולוגיה מתקדמת לרכב (96) בע"מ נ' מע"מ עכו </w:t>
      </w:r>
      <w:r>
        <w:rPr>
          <w:rFonts w:ascii="David" w:hAnsi="David" w:cs="David"/>
          <w:sz w:val="26"/>
          <w:szCs w:val="26"/>
          <w:rtl/>
        </w:rPr>
        <w:t xml:space="preserve">(7.12.2014) (להלן: </w:t>
      </w:r>
      <w:r>
        <w:rPr>
          <w:rFonts w:ascii="David" w:hAnsi="David" w:cs="David"/>
          <w:b/>
          <w:bCs/>
          <w:sz w:val="26"/>
          <w:szCs w:val="26"/>
          <w:rtl/>
        </w:rPr>
        <w:t>פס"ד טכנו</w:t>
      </w:r>
      <w:r>
        <w:rPr>
          <w:rFonts w:ascii="David" w:hAnsi="David" w:cs="David"/>
          <w:sz w:val="26"/>
          <w:szCs w:val="26"/>
          <w:rtl/>
        </w:rPr>
        <w:t>)</w:t>
      </w:r>
      <w:r w:rsidR="009A6E70">
        <w:rPr>
          <w:rFonts w:ascii="David" w:hAnsi="David" w:cs="David" w:hint="cs"/>
          <w:sz w:val="26"/>
          <w:szCs w:val="26"/>
          <w:rtl/>
        </w:rPr>
        <w:t>,</w:t>
      </w:r>
      <w:r>
        <w:rPr>
          <w:rFonts w:ascii="David" w:hAnsi="David" w:cs="David"/>
          <w:sz w:val="26"/>
          <w:szCs w:val="26"/>
          <w:rtl/>
        </w:rPr>
        <w:t xml:space="preserve"> אשר החיל על החלטות בדבר כפל מס וקנס את סעיף 82 לחוק שעניינו התיישנות בעקבות הגשת השגה.</w:t>
      </w:r>
    </w:p>
    <w:p w:rsidR="009A6E70" w:rsidRDefault="00D238D3" w:rsidP="009A6E70">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t xml:space="preserve">המשיב, מנגד, טוען כי אין לראות </w:t>
      </w:r>
      <w:r w:rsidR="009A6E70">
        <w:rPr>
          <w:rFonts w:ascii="David" w:hAnsi="David" w:cs="David" w:hint="cs"/>
          <w:sz w:val="26"/>
          <w:szCs w:val="26"/>
          <w:rtl/>
        </w:rPr>
        <w:t>במכתבי המשיב ו</w:t>
      </w:r>
      <w:r>
        <w:rPr>
          <w:rFonts w:ascii="David" w:hAnsi="David" w:cs="David"/>
          <w:sz w:val="26"/>
          <w:szCs w:val="26"/>
          <w:rtl/>
        </w:rPr>
        <w:t>במכתב המערערים כמתחיל</w:t>
      </w:r>
      <w:r w:rsidR="009A6E70">
        <w:rPr>
          <w:rFonts w:ascii="David" w:hAnsi="David" w:cs="David" w:hint="cs"/>
          <w:sz w:val="26"/>
          <w:szCs w:val="26"/>
          <w:rtl/>
        </w:rPr>
        <w:t>ים</w:t>
      </w:r>
      <w:r>
        <w:rPr>
          <w:rFonts w:ascii="David" w:hAnsi="David" w:cs="David"/>
          <w:sz w:val="26"/>
          <w:szCs w:val="26"/>
          <w:rtl/>
        </w:rPr>
        <w:t xml:space="preserve"> את מרוץ ההתיישנות, אלא לכל היותר בשימועים עצמם, כך שממילא לא חל</w:t>
      </w:r>
      <w:r w:rsidR="009A6E70">
        <w:rPr>
          <w:rFonts w:ascii="David" w:hAnsi="David" w:cs="David"/>
          <w:sz w:val="26"/>
          <w:szCs w:val="26"/>
          <w:rtl/>
        </w:rPr>
        <w:t>פה תקופה של שנה</w:t>
      </w:r>
      <w:r w:rsidR="009A6E70">
        <w:rPr>
          <w:rFonts w:ascii="David" w:hAnsi="David" w:cs="David" w:hint="cs"/>
          <w:sz w:val="26"/>
          <w:szCs w:val="26"/>
          <w:rtl/>
        </w:rPr>
        <w:t xml:space="preserve">. </w:t>
      </w:r>
    </w:p>
    <w:p w:rsidR="00D238D3" w:rsidRDefault="009A6E70" w:rsidP="009A6E70">
      <w:pPr>
        <w:pStyle w:val="ad"/>
        <w:spacing w:before="240" w:after="0" w:line="360" w:lineRule="auto"/>
        <w:contextualSpacing w:val="0"/>
        <w:jc w:val="both"/>
        <w:rPr>
          <w:rFonts w:ascii="David" w:hAnsi="David" w:cs="David"/>
          <w:sz w:val="26"/>
          <w:szCs w:val="26"/>
        </w:rPr>
      </w:pPr>
      <w:r>
        <w:rPr>
          <w:rFonts w:ascii="David" w:hAnsi="David" w:cs="David" w:hint="cs"/>
          <w:sz w:val="26"/>
          <w:szCs w:val="26"/>
          <w:rtl/>
        </w:rPr>
        <w:t>עוד הוא טוען</w:t>
      </w:r>
      <w:r w:rsidR="00D238D3">
        <w:rPr>
          <w:rFonts w:ascii="David" w:hAnsi="David" w:cs="David"/>
          <w:sz w:val="26"/>
          <w:szCs w:val="26"/>
          <w:rtl/>
        </w:rPr>
        <w:t xml:space="preserve"> </w:t>
      </w:r>
      <w:r>
        <w:rPr>
          <w:rFonts w:ascii="David" w:hAnsi="David" w:cs="David" w:hint="cs"/>
          <w:sz w:val="26"/>
          <w:szCs w:val="26"/>
          <w:rtl/>
        </w:rPr>
        <w:t xml:space="preserve">כי </w:t>
      </w:r>
      <w:r w:rsidR="00D238D3">
        <w:rPr>
          <w:rFonts w:ascii="David" w:hAnsi="David" w:cs="David"/>
          <w:sz w:val="26"/>
          <w:szCs w:val="26"/>
          <w:rtl/>
        </w:rPr>
        <w:t xml:space="preserve">בכל מקרה יש לאמץ את שנפסק בע"מ 26352-05-16 </w:t>
      </w:r>
      <w:r w:rsidR="00D238D3">
        <w:rPr>
          <w:rFonts w:ascii="David" w:hAnsi="David" w:cs="David"/>
          <w:b/>
          <w:bCs/>
          <w:sz w:val="26"/>
          <w:szCs w:val="26"/>
          <w:rtl/>
        </w:rPr>
        <w:t>ים מרין בע"מ נ' מס ערך מוסף – משרד אזורי בת ים</w:t>
      </w:r>
      <w:r w:rsidR="00D238D3">
        <w:rPr>
          <w:rFonts w:ascii="David" w:hAnsi="David" w:cs="David"/>
          <w:sz w:val="26"/>
          <w:szCs w:val="26"/>
          <w:rtl/>
        </w:rPr>
        <w:t xml:space="preserve"> (14.2.2017). (להלן: </w:t>
      </w:r>
      <w:r w:rsidR="00D238D3">
        <w:rPr>
          <w:rFonts w:ascii="David" w:hAnsi="David" w:cs="David"/>
          <w:b/>
          <w:bCs/>
          <w:sz w:val="26"/>
          <w:szCs w:val="26"/>
          <w:rtl/>
        </w:rPr>
        <w:t>פס"ד ים מרין</w:t>
      </w:r>
      <w:r>
        <w:rPr>
          <w:rFonts w:ascii="David" w:hAnsi="David" w:cs="David"/>
          <w:sz w:val="26"/>
          <w:szCs w:val="26"/>
          <w:rtl/>
        </w:rPr>
        <w:t>)</w:t>
      </w:r>
      <w:r>
        <w:rPr>
          <w:rFonts w:ascii="David" w:hAnsi="David" w:cs="David" w:hint="cs"/>
          <w:sz w:val="26"/>
          <w:szCs w:val="26"/>
          <w:rtl/>
        </w:rPr>
        <w:t>,</w:t>
      </w:r>
      <w:r w:rsidR="00D238D3">
        <w:rPr>
          <w:rFonts w:ascii="David" w:hAnsi="David" w:cs="David"/>
          <w:sz w:val="26"/>
          <w:szCs w:val="26"/>
          <w:rtl/>
        </w:rPr>
        <w:t xml:space="preserve"> בו נקבע, בניגוד לפס"ד </w:t>
      </w:r>
      <w:r w:rsidR="00D238D3">
        <w:rPr>
          <w:rFonts w:ascii="David" w:hAnsi="David" w:cs="David"/>
          <w:b/>
          <w:bCs/>
          <w:sz w:val="26"/>
          <w:szCs w:val="26"/>
          <w:rtl/>
        </w:rPr>
        <w:t>טכנו</w:t>
      </w:r>
      <w:r w:rsidR="00D238D3">
        <w:rPr>
          <w:rFonts w:ascii="David" w:hAnsi="David" w:cs="David"/>
          <w:sz w:val="26"/>
          <w:szCs w:val="26"/>
          <w:rtl/>
        </w:rPr>
        <w:t>, כי אין להחיל בעניין זה את סעיף 82 לחוק</w:t>
      </w:r>
      <w:r>
        <w:rPr>
          <w:rFonts w:ascii="David" w:hAnsi="David" w:cs="David" w:hint="cs"/>
          <w:sz w:val="26"/>
          <w:szCs w:val="26"/>
          <w:rtl/>
        </w:rPr>
        <w:t>,</w:t>
      </w:r>
      <w:r w:rsidR="00D238D3">
        <w:rPr>
          <w:rFonts w:ascii="David" w:hAnsi="David" w:cs="David"/>
          <w:sz w:val="26"/>
          <w:szCs w:val="26"/>
          <w:rtl/>
        </w:rPr>
        <w:t xml:space="preserve"> שכן הודעה על הטלת כפל מס וקנס אינה בגדר שומה שמתיישנת. </w:t>
      </w:r>
    </w:p>
    <w:p w:rsidR="00D238D3" w:rsidRDefault="00D238D3" w:rsidP="00D238D3">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t>לאחר שנתתי דעתי לטענות הצדדים, סבורני כי יש לדחות את טענת ההתיישנות שמעלים המערערים.</w:t>
      </w:r>
    </w:p>
    <w:p w:rsidR="00D238D3" w:rsidRDefault="00D238D3" w:rsidP="00D238D3">
      <w:pPr>
        <w:pStyle w:val="ad"/>
        <w:numPr>
          <w:ilvl w:val="0"/>
          <w:numId w:val="1"/>
        </w:numPr>
        <w:spacing w:before="240" w:after="0" w:line="360" w:lineRule="auto"/>
        <w:ind w:hanging="357"/>
        <w:contextualSpacing w:val="0"/>
        <w:jc w:val="both"/>
        <w:rPr>
          <w:rFonts w:ascii="David" w:hAnsi="David" w:cs="David"/>
          <w:sz w:val="26"/>
          <w:szCs w:val="26"/>
        </w:rPr>
      </w:pPr>
      <w:r>
        <w:rPr>
          <w:rFonts w:ascii="David" w:hAnsi="David" w:cs="David"/>
          <w:sz w:val="26"/>
          <w:szCs w:val="26"/>
          <w:rtl/>
        </w:rPr>
        <w:lastRenderedPageBreak/>
        <w:t>אלה סעיפי החוק הרלוונטיים לעניין (ההדגשות הוספו):</w:t>
      </w:r>
    </w:p>
    <w:p w:rsidR="00D238D3" w:rsidRDefault="00D238D3" w:rsidP="00D238D3">
      <w:pPr>
        <w:spacing w:before="120"/>
        <w:ind w:left="1076"/>
        <w:jc w:val="both"/>
        <w:rPr>
          <w:rFonts w:ascii="David" w:hAnsi="David"/>
          <w:b/>
          <w:bCs/>
          <w:sz w:val="26"/>
          <w:szCs w:val="26"/>
        </w:rPr>
      </w:pPr>
      <w:r>
        <w:rPr>
          <w:rFonts w:ascii="David" w:hAnsi="David"/>
          <w:b/>
          <w:bCs/>
          <w:sz w:val="26"/>
          <w:szCs w:val="26"/>
          <w:rtl/>
        </w:rPr>
        <w:t xml:space="preserve">בכל הנוגע להטלת כפל מס – </w:t>
      </w:r>
    </w:p>
    <w:p w:rsidR="00D238D3" w:rsidRDefault="00D238D3" w:rsidP="00D238D3">
      <w:pPr>
        <w:spacing w:before="120"/>
        <w:ind w:left="1076"/>
        <w:jc w:val="both"/>
        <w:rPr>
          <w:rFonts w:ascii="David" w:hAnsi="David"/>
          <w:sz w:val="26"/>
          <w:szCs w:val="26"/>
          <w:u w:val="single"/>
          <w:rtl/>
        </w:rPr>
      </w:pPr>
      <w:r>
        <w:rPr>
          <w:rFonts w:ascii="David" w:hAnsi="David"/>
          <w:sz w:val="26"/>
          <w:szCs w:val="26"/>
          <w:u w:val="single"/>
          <w:rtl/>
        </w:rPr>
        <w:t>הוצאת חשבונית מס שלא כדין</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50.     (א)  אדם שאינו רשאי לפי סעיף 47 להוציא חשבונית מס, </w:t>
      </w:r>
      <w:r>
        <w:rPr>
          <w:rFonts w:ascii="David" w:hAnsi="David"/>
          <w:b/>
          <w:bCs/>
          <w:sz w:val="26"/>
          <w:szCs w:val="26"/>
          <w:rtl/>
        </w:rPr>
        <w:t>והוציא חשבונית מס או הוציא מסמך הנחזה כחשבונית מ</w:t>
      </w:r>
      <w:r>
        <w:rPr>
          <w:rFonts w:ascii="David" w:hAnsi="David"/>
          <w:sz w:val="26"/>
          <w:szCs w:val="26"/>
          <w:rtl/>
        </w:rPr>
        <w:t xml:space="preserve">ס אף אם חסרים בו פרטים הנדרשים לענין חשבונית מס, יהיה חייב </w:t>
      </w:r>
      <w:r>
        <w:rPr>
          <w:rFonts w:ascii="David" w:hAnsi="David"/>
          <w:b/>
          <w:bCs/>
          <w:sz w:val="26"/>
          <w:szCs w:val="26"/>
          <w:rtl/>
        </w:rPr>
        <w:t xml:space="preserve">בתשלום כפל המס המצויין בחשבונית </w:t>
      </w:r>
      <w:r>
        <w:rPr>
          <w:rFonts w:ascii="David" w:hAnsi="David"/>
          <w:sz w:val="26"/>
          <w:szCs w:val="26"/>
          <w:rtl/>
        </w:rPr>
        <w:t>או המשתמע ממנה.</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(א1) </w:t>
      </w:r>
      <w:r>
        <w:rPr>
          <w:rFonts w:ascii="David" w:hAnsi="David"/>
          <w:b/>
          <w:bCs/>
          <w:sz w:val="26"/>
          <w:szCs w:val="26"/>
          <w:rtl/>
        </w:rPr>
        <w:t>עוסק שניכה מס תשומות הכלול בחשבונית מס שהוצאה שלא כדין</w:t>
      </w:r>
      <w:r>
        <w:rPr>
          <w:rFonts w:ascii="David" w:hAnsi="David"/>
          <w:sz w:val="26"/>
          <w:szCs w:val="26"/>
          <w:rtl/>
        </w:rPr>
        <w:t xml:space="preserve">, רשאי המנהל להטיל עליו </w:t>
      </w:r>
      <w:r>
        <w:rPr>
          <w:rFonts w:ascii="David" w:hAnsi="David"/>
          <w:b/>
          <w:bCs/>
          <w:sz w:val="26"/>
          <w:szCs w:val="26"/>
          <w:rtl/>
        </w:rPr>
        <w:t>כפל מס המצוין בחשבונית או המשתמע ממנה</w:t>
      </w:r>
      <w:r>
        <w:rPr>
          <w:rFonts w:ascii="David" w:hAnsi="David"/>
          <w:sz w:val="26"/>
          <w:szCs w:val="26"/>
          <w:rtl/>
        </w:rPr>
        <w:t>, אלא אם כן הוכיח להנחת דעתו של המנהל כי לא ידע שהחשבונית הוצאה שלא כדין.</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(ב)  על דרישה לשלם כפל מס לפי סעיפים קטנים (א) או (א1) </w:t>
      </w:r>
      <w:r>
        <w:rPr>
          <w:rFonts w:ascii="David" w:hAnsi="David"/>
          <w:b/>
          <w:bCs/>
          <w:sz w:val="26"/>
          <w:szCs w:val="26"/>
          <w:rtl/>
        </w:rPr>
        <w:t>ניתן לערער לפני בית המשפט המחוזי</w:t>
      </w:r>
      <w:r>
        <w:rPr>
          <w:rFonts w:ascii="David" w:hAnsi="David"/>
          <w:sz w:val="26"/>
          <w:szCs w:val="26"/>
          <w:rtl/>
        </w:rPr>
        <w:t>; הגשת הערעור תעכב את תשלום כפל המס, אלא אם כן הורה בית המשפט אחרת.</w:t>
      </w:r>
    </w:p>
    <w:p w:rsidR="00D238D3" w:rsidRDefault="00D238D3" w:rsidP="00D238D3">
      <w:pPr>
        <w:spacing w:before="120"/>
        <w:ind w:left="1076"/>
        <w:jc w:val="both"/>
        <w:rPr>
          <w:rFonts w:ascii="David" w:hAnsi="David"/>
          <w:sz w:val="26"/>
          <w:szCs w:val="26"/>
          <w:rtl/>
        </w:rPr>
      </w:pPr>
      <w:r>
        <w:rPr>
          <w:rFonts w:ascii="David" w:hAnsi="David"/>
          <w:b/>
          <w:bCs/>
          <w:sz w:val="26"/>
          <w:szCs w:val="26"/>
          <w:rtl/>
        </w:rPr>
        <w:t>בכל הנוגע לפסילת ספרים</w:t>
      </w:r>
      <w:r>
        <w:rPr>
          <w:rFonts w:ascii="David" w:hAnsi="David"/>
          <w:sz w:val="26"/>
          <w:szCs w:val="26"/>
          <w:rtl/>
        </w:rPr>
        <w:t xml:space="preserve"> -</w:t>
      </w:r>
    </w:p>
    <w:p w:rsidR="00D238D3" w:rsidRDefault="00D238D3" w:rsidP="00D238D3">
      <w:pPr>
        <w:spacing w:before="120"/>
        <w:ind w:left="1076"/>
        <w:jc w:val="both"/>
        <w:rPr>
          <w:rFonts w:ascii="David" w:hAnsi="David"/>
          <w:sz w:val="26"/>
          <w:szCs w:val="26"/>
          <w:u w:val="single"/>
          <w:rtl/>
        </w:rPr>
      </w:pPr>
      <w:r>
        <w:rPr>
          <w:rFonts w:ascii="David" w:hAnsi="David"/>
          <w:sz w:val="26"/>
          <w:szCs w:val="26"/>
          <w:u w:val="single"/>
          <w:rtl/>
        </w:rPr>
        <w:t>הוצאה של חשבונית מס שלא כדין וניכוי מס תשומות שלא כדין</w:t>
      </w:r>
    </w:p>
    <w:p w:rsidR="00D238D3" w:rsidRDefault="00D238D3" w:rsidP="00D238D3">
      <w:pPr>
        <w:spacing w:before="120"/>
        <w:ind w:left="1076"/>
        <w:jc w:val="both"/>
        <w:rPr>
          <w:rFonts w:ascii="David" w:hAnsi="David"/>
          <w:sz w:val="26"/>
          <w:szCs w:val="26"/>
          <w:rtl/>
        </w:rPr>
      </w:pPr>
      <w:r>
        <w:rPr>
          <w:rFonts w:ascii="David" w:hAnsi="David"/>
          <w:sz w:val="26"/>
          <w:szCs w:val="26"/>
          <w:rtl/>
        </w:rPr>
        <w:t>77ב.   (א)  עוסק שהוציא חשבונית מס שלא כדין, יראו את פנקסיו כבלתי קבילים באותה שנת מס.</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(ב)  </w:t>
      </w:r>
      <w:r>
        <w:rPr>
          <w:rFonts w:ascii="David" w:hAnsi="David"/>
          <w:b/>
          <w:bCs/>
          <w:sz w:val="26"/>
          <w:szCs w:val="26"/>
          <w:rtl/>
        </w:rPr>
        <w:t>עוסק שניכה מס תשומות הכלול בחשבונית מס שהוצאה שלא כדין, יראו את פנקסיו כבלתי קבילים באותה שנת מס</w:t>
      </w:r>
      <w:r>
        <w:rPr>
          <w:rFonts w:ascii="David" w:hAnsi="David"/>
          <w:sz w:val="26"/>
          <w:szCs w:val="26"/>
          <w:rtl/>
        </w:rPr>
        <w:t>, אלא אם כן הוכיח בעת הבאת טענותיו לפי סעיף 62, להנחת דעתו של המנהל, כי לא ידע שהחשבונית הוצאה שלא כדין.</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(ג)   על החלטת המנהל לפי סעיפים קטנים (א) או (ב), </w:t>
      </w:r>
      <w:r>
        <w:rPr>
          <w:rFonts w:ascii="David" w:hAnsi="David"/>
          <w:b/>
          <w:bCs/>
          <w:sz w:val="26"/>
          <w:szCs w:val="26"/>
          <w:rtl/>
        </w:rPr>
        <w:t>ניתן לערער לפי סעיף 83 כאילו היתה החלטה בהשגה</w:t>
      </w:r>
      <w:r>
        <w:rPr>
          <w:rFonts w:ascii="David" w:hAnsi="David"/>
          <w:sz w:val="26"/>
          <w:szCs w:val="26"/>
          <w:rtl/>
        </w:rPr>
        <w:t>, בתוך 60 ימים מיום שנמסרה ההודעה על ההחלטה.</w:t>
      </w:r>
    </w:p>
    <w:p w:rsidR="00D238D3" w:rsidRDefault="00D238D3" w:rsidP="00D238D3">
      <w:pPr>
        <w:spacing w:before="120"/>
        <w:ind w:left="1076"/>
        <w:jc w:val="both"/>
        <w:rPr>
          <w:rFonts w:ascii="David" w:hAnsi="David"/>
          <w:b/>
          <w:bCs/>
          <w:sz w:val="26"/>
          <w:szCs w:val="26"/>
          <w:rtl/>
        </w:rPr>
      </w:pPr>
      <w:r>
        <w:rPr>
          <w:rFonts w:ascii="David" w:hAnsi="David"/>
          <w:b/>
          <w:bCs/>
          <w:sz w:val="26"/>
          <w:szCs w:val="26"/>
          <w:rtl/>
        </w:rPr>
        <w:t xml:space="preserve">בכל הנוגע להטלת הקנס – </w:t>
      </w:r>
    </w:p>
    <w:p w:rsidR="00D238D3" w:rsidRDefault="00D238D3" w:rsidP="00D238D3">
      <w:pPr>
        <w:spacing w:before="120"/>
        <w:ind w:left="1076"/>
        <w:jc w:val="both"/>
        <w:rPr>
          <w:rFonts w:ascii="David" w:hAnsi="David"/>
          <w:sz w:val="26"/>
          <w:szCs w:val="26"/>
          <w:u w:val="single"/>
          <w:rtl/>
        </w:rPr>
      </w:pPr>
      <w:r>
        <w:rPr>
          <w:rFonts w:ascii="David" w:hAnsi="David"/>
          <w:sz w:val="26"/>
          <w:szCs w:val="26"/>
          <w:u w:val="single"/>
          <w:rtl/>
        </w:rPr>
        <w:t xml:space="preserve">קנס על אי-ניהול ספרים </w:t>
      </w:r>
    </w:p>
    <w:p w:rsidR="00D238D3" w:rsidRDefault="00D238D3" w:rsidP="00D238D3">
      <w:pPr>
        <w:spacing w:before="120"/>
        <w:ind w:left="1076"/>
        <w:jc w:val="both"/>
        <w:rPr>
          <w:rFonts w:ascii="David" w:hAnsi="David"/>
          <w:sz w:val="26"/>
          <w:szCs w:val="26"/>
          <w:rtl/>
        </w:rPr>
      </w:pPr>
      <w:r>
        <w:rPr>
          <w:rFonts w:ascii="David" w:hAnsi="David"/>
          <w:sz w:val="26"/>
          <w:szCs w:val="26"/>
          <w:rtl/>
        </w:rPr>
        <w:t>95.     (א)  לא ניהל החייב במס פנקסי חשבונות או רשומות כפי שנקבע</w:t>
      </w:r>
      <w:r>
        <w:rPr>
          <w:rFonts w:ascii="David" w:hAnsi="David"/>
          <w:b/>
          <w:bCs/>
          <w:sz w:val="26"/>
          <w:szCs w:val="26"/>
          <w:rtl/>
        </w:rPr>
        <w:t>, או שניהלם בסטיה מהותית מהוראות חוק זה או התקנות על פיו, רשאי המנהל להטיל קנס של 1%</w:t>
      </w:r>
      <w:r>
        <w:rPr>
          <w:rFonts w:ascii="David" w:hAnsi="David"/>
          <w:sz w:val="26"/>
          <w:szCs w:val="26"/>
          <w:rtl/>
        </w:rPr>
        <w:t xml:space="preserve"> מסך כל מחיר עסקאותיו או מסך כל השכר והריווח, לפי הענין, לשנת המס שבה לא נוהלו הפנקסים או הרשומות כפי שנקבע, ובלבד שהקנס לא יפחת מ-316 שקלים חדשים לחודש.</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(א1)        ...</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(ב)  </w:t>
      </w:r>
      <w:r>
        <w:rPr>
          <w:rFonts w:ascii="David" w:hAnsi="David"/>
          <w:b/>
          <w:bCs/>
          <w:sz w:val="26"/>
          <w:szCs w:val="26"/>
          <w:rtl/>
        </w:rPr>
        <w:t>על החלטת המנהל לפי סעיף קטן (א) רשאי החייב במס להגיש ערעור לפני בית המשפט המחוזי</w:t>
      </w:r>
      <w:r>
        <w:rPr>
          <w:rFonts w:ascii="David" w:hAnsi="David"/>
          <w:sz w:val="26"/>
          <w:szCs w:val="26"/>
          <w:rtl/>
        </w:rPr>
        <w:t xml:space="preserve"> או ערר לפני הועדה לקבילות פנקסים שהוקמה על פי סעיף 127, תוך שלושים יום מיום שהודע לו על ההחלטה, ואולם על החלטה כאמור שניתנה בשל ניהול פנקסי חשבונות או רשומות בסטיה מהותית שענינה הוצאת חשבונית מס שלא כדין או ניכוי מס תשומות הכלול בחשבונית </w:t>
      </w:r>
      <w:r>
        <w:rPr>
          <w:rFonts w:ascii="David" w:hAnsi="David"/>
          <w:sz w:val="26"/>
          <w:szCs w:val="26"/>
          <w:rtl/>
        </w:rPr>
        <w:lastRenderedPageBreak/>
        <w:t>מס שהוצאה שלא כדין, לפי סעיף 77ב(א) או (ב), לפי הענין, רשאי החייב במס להגיש ערעור בתוך התקופה האמורה רק לפני בית המשפט המחוזי.</w:t>
      </w:r>
    </w:p>
    <w:p w:rsidR="00D238D3" w:rsidRDefault="00D238D3" w:rsidP="007A56D9">
      <w:pPr>
        <w:spacing w:before="120"/>
        <w:ind w:left="1076"/>
        <w:jc w:val="both"/>
        <w:rPr>
          <w:rFonts w:ascii="David" w:hAnsi="David"/>
          <w:b/>
          <w:bCs/>
          <w:sz w:val="26"/>
          <w:szCs w:val="26"/>
          <w:rtl/>
        </w:rPr>
      </w:pPr>
      <w:r>
        <w:rPr>
          <w:rFonts w:ascii="David" w:hAnsi="David"/>
          <w:b/>
          <w:bCs/>
          <w:sz w:val="26"/>
          <w:szCs w:val="26"/>
          <w:rtl/>
        </w:rPr>
        <w:t>בכל הנוגע ל</w:t>
      </w:r>
      <w:r w:rsidR="009A6E70">
        <w:rPr>
          <w:rFonts w:ascii="David" w:hAnsi="David" w:hint="cs"/>
          <w:b/>
          <w:bCs/>
          <w:sz w:val="26"/>
          <w:szCs w:val="26"/>
          <w:rtl/>
        </w:rPr>
        <w:t>הגשת השגה</w:t>
      </w:r>
      <w:r>
        <w:rPr>
          <w:rFonts w:ascii="David" w:hAnsi="David"/>
          <w:b/>
          <w:bCs/>
          <w:sz w:val="26"/>
          <w:szCs w:val="26"/>
          <w:rtl/>
        </w:rPr>
        <w:t xml:space="preserve"> </w:t>
      </w:r>
      <w:r w:rsidR="007A56D9">
        <w:rPr>
          <w:rFonts w:ascii="David" w:hAnsi="David" w:hint="cs"/>
          <w:b/>
          <w:bCs/>
          <w:sz w:val="26"/>
          <w:szCs w:val="26"/>
          <w:rtl/>
        </w:rPr>
        <w:t xml:space="preserve">ותוצאות אי קבלת החלטה </w:t>
      </w:r>
      <w:r>
        <w:rPr>
          <w:rFonts w:ascii="David" w:hAnsi="David"/>
          <w:b/>
          <w:bCs/>
          <w:sz w:val="26"/>
          <w:szCs w:val="26"/>
          <w:rtl/>
        </w:rPr>
        <w:t xml:space="preserve">– </w:t>
      </w:r>
    </w:p>
    <w:p w:rsidR="00D238D3" w:rsidRDefault="00D238D3" w:rsidP="00D238D3">
      <w:pPr>
        <w:spacing w:before="120"/>
        <w:ind w:left="1076"/>
        <w:jc w:val="both"/>
        <w:rPr>
          <w:rFonts w:ascii="David" w:hAnsi="David"/>
          <w:sz w:val="26"/>
          <w:szCs w:val="26"/>
          <w:u w:val="single"/>
          <w:rtl/>
        </w:rPr>
      </w:pPr>
      <w:r>
        <w:rPr>
          <w:rFonts w:ascii="David" w:hAnsi="David"/>
          <w:sz w:val="26"/>
          <w:szCs w:val="26"/>
          <w:u w:val="single"/>
          <w:rtl/>
        </w:rPr>
        <w:t xml:space="preserve">השגה </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82.   (א)  </w:t>
      </w:r>
      <w:r>
        <w:rPr>
          <w:rFonts w:ascii="David" w:hAnsi="David"/>
          <w:b/>
          <w:bCs/>
          <w:sz w:val="26"/>
          <w:szCs w:val="26"/>
          <w:rtl/>
        </w:rPr>
        <w:t>החולק על שומה רשאי להשיג עליה בכתב מנומק לפני המנהל</w:t>
      </w:r>
      <w:r>
        <w:rPr>
          <w:rFonts w:ascii="David" w:hAnsi="David"/>
          <w:sz w:val="26"/>
          <w:szCs w:val="26"/>
          <w:rtl/>
        </w:rPr>
        <w:t>, תוך שלושים יום לאחר שהומצאה לו הודעת השומה או תוך מועד מאוחר מזה שהתיר המנהל מטעמים מיוחדים.</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(ב)  הגיעו החייב במס והמנהל להסכם בדבר המס המגיע, תתוקן השומה לפי זה; לא הושג הסכם יחליט המנהל בהשגה, ורשאי הוא לקיים את השומה, להגדילה או להקטינה.</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(ג)   הודעה על הסכמת המנהל או על החלטתו בהשגה, ועל נימוקיה, תומצא לחייב במס.</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(ד)  </w:t>
      </w:r>
      <w:r>
        <w:rPr>
          <w:rFonts w:ascii="David" w:hAnsi="David"/>
          <w:b/>
          <w:bCs/>
          <w:sz w:val="26"/>
          <w:szCs w:val="26"/>
          <w:rtl/>
        </w:rPr>
        <w:t>לא החליט המנהל כאמור בסעיף קטן (ב) תוך שנה מיום הגשת ההשגה, יראו את ההשגה כאילו נתקבלה</w:t>
      </w:r>
      <w:r>
        <w:rPr>
          <w:rFonts w:ascii="David" w:hAnsi="David"/>
          <w:sz w:val="26"/>
          <w:szCs w:val="26"/>
          <w:rtl/>
        </w:rPr>
        <w:t>.</w:t>
      </w:r>
    </w:p>
    <w:p w:rsidR="00D238D3" w:rsidRDefault="00D238D3" w:rsidP="00D238D3">
      <w:pPr>
        <w:spacing w:before="120"/>
        <w:ind w:left="1076"/>
        <w:jc w:val="both"/>
        <w:rPr>
          <w:rFonts w:ascii="David" w:hAnsi="David"/>
          <w:sz w:val="26"/>
          <w:szCs w:val="26"/>
          <w:rtl/>
        </w:rPr>
      </w:pPr>
      <w:r>
        <w:rPr>
          <w:rFonts w:ascii="David" w:hAnsi="David"/>
          <w:sz w:val="26"/>
          <w:szCs w:val="26"/>
          <w:rtl/>
        </w:rPr>
        <w:t xml:space="preserve">          (ה)  מי שערך את השומה לא יחליט בהשגה עליה.</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sz w:val="26"/>
          <w:szCs w:val="26"/>
          <w:rtl/>
        </w:rPr>
        <w:t xml:space="preserve">בפס"ד </w:t>
      </w:r>
      <w:r>
        <w:rPr>
          <w:rFonts w:ascii="David" w:hAnsi="David" w:cs="David"/>
          <w:b/>
          <w:bCs/>
          <w:sz w:val="26"/>
          <w:szCs w:val="26"/>
          <w:rtl/>
        </w:rPr>
        <w:t>טכנו</w:t>
      </w:r>
      <w:r>
        <w:rPr>
          <w:rFonts w:ascii="David" w:hAnsi="David" w:cs="David"/>
          <w:sz w:val="26"/>
          <w:szCs w:val="26"/>
          <w:rtl/>
        </w:rPr>
        <w:t xml:space="preserve"> נאמרו הדברים הבאים לעניין פסילת ספרים והטלת קנס: </w:t>
      </w:r>
    </w:p>
    <w:p w:rsidR="00D238D3" w:rsidRPr="00D238D3" w:rsidRDefault="00D238D3" w:rsidP="00D238D3">
      <w:pPr>
        <w:spacing w:before="240"/>
        <w:ind w:left="1077"/>
        <w:jc w:val="both"/>
        <w:rPr>
          <w:rFonts w:ascii="David" w:hAnsi="David"/>
          <w:sz w:val="26"/>
          <w:szCs w:val="26"/>
          <w:rtl/>
        </w:rPr>
      </w:pPr>
      <w:r w:rsidRPr="00D238D3">
        <w:rPr>
          <w:rFonts w:ascii="David" w:hAnsi="David"/>
          <w:b/>
          <w:bCs/>
          <w:sz w:val="26"/>
          <w:szCs w:val="26"/>
          <w:rtl/>
        </w:rPr>
        <w:t xml:space="preserve">"הפועל היוצא מעיון בסעיפים שהובאו עד כה הוא, </w:t>
      </w:r>
      <w:r w:rsidRPr="00C738EB">
        <w:rPr>
          <w:rFonts w:ascii="David" w:hAnsi="David"/>
          <w:b/>
          <w:bCs/>
          <w:sz w:val="26"/>
          <w:szCs w:val="26"/>
          <w:u w:val="single"/>
          <w:rtl/>
        </w:rPr>
        <w:t>שאותו הליך שהתנהל לצורך פסילת ספרים ושיכול להקנות סמכות להטיל קנס</w:t>
      </w:r>
      <w:r w:rsidRPr="00D238D3">
        <w:rPr>
          <w:rFonts w:ascii="David" w:hAnsi="David"/>
          <w:b/>
          <w:bCs/>
          <w:sz w:val="26"/>
          <w:szCs w:val="26"/>
          <w:rtl/>
        </w:rPr>
        <w:t xml:space="preserve">, בנוסף לחיוב במס עצמו, </w:t>
      </w:r>
      <w:r w:rsidRPr="00C738EB">
        <w:rPr>
          <w:rFonts w:ascii="David" w:hAnsi="David"/>
          <w:b/>
          <w:bCs/>
          <w:sz w:val="26"/>
          <w:szCs w:val="26"/>
          <w:u w:val="single"/>
          <w:rtl/>
        </w:rPr>
        <w:t>ניתן לראות בו הליך שווה ערך להשגה</w:t>
      </w:r>
      <w:r w:rsidRPr="00D238D3">
        <w:rPr>
          <w:rFonts w:ascii="David" w:hAnsi="David"/>
          <w:b/>
          <w:bCs/>
          <w:sz w:val="26"/>
          <w:szCs w:val="26"/>
          <w:rtl/>
        </w:rPr>
        <w:t>, כמצוין </w:t>
      </w:r>
      <w:hyperlink r:id="rId8" w:history="1">
        <w:r w:rsidRPr="00D238D3">
          <w:rPr>
            <w:rStyle w:val="Hyperlink"/>
            <w:rFonts w:ascii="David" w:hAnsi="David" w:hint="cs"/>
            <w:b/>
            <w:bCs/>
            <w:color w:val="auto"/>
            <w:sz w:val="26"/>
            <w:szCs w:val="26"/>
            <w:u w:val="none"/>
            <w:rtl/>
          </w:rPr>
          <w:t>בסעיף 77ב(ג)</w:t>
        </w:r>
      </w:hyperlink>
      <w:r w:rsidRPr="00D238D3">
        <w:rPr>
          <w:rFonts w:ascii="David" w:hAnsi="David"/>
          <w:b/>
          <w:bCs/>
          <w:sz w:val="26"/>
          <w:szCs w:val="26"/>
        </w:rPr>
        <w:t> </w:t>
      </w:r>
      <w:r w:rsidRPr="00D238D3">
        <w:rPr>
          <w:rFonts w:ascii="David" w:hAnsi="David"/>
          <w:b/>
          <w:bCs/>
          <w:sz w:val="26"/>
          <w:szCs w:val="26"/>
          <w:rtl/>
        </w:rPr>
        <w:t>לחוק). ואכן אז ההחלטה שנתקבלה, כמפורט </w:t>
      </w:r>
      <w:hyperlink r:id="rId9" w:history="1">
        <w:r w:rsidRPr="00D238D3">
          <w:rPr>
            <w:rStyle w:val="Hyperlink"/>
            <w:rFonts w:ascii="David" w:hAnsi="David" w:hint="cs"/>
            <w:b/>
            <w:bCs/>
            <w:color w:val="auto"/>
            <w:sz w:val="26"/>
            <w:szCs w:val="26"/>
            <w:u w:val="none"/>
            <w:rtl/>
          </w:rPr>
          <w:t>בסעיף 77ב(ג)</w:t>
        </w:r>
      </w:hyperlink>
      <w:r w:rsidRPr="00D238D3">
        <w:rPr>
          <w:rFonts w:ascii="David" w:hAnsi="David"/>
          <w:b/>
          <w:bCs/>
          <w:sz w:val="26"/>
          <w:szCs w:val="26"/>
        </w:rPr>
        <w:t> </w:t>
      </w:r>
      <w:r w:rsidRPr="00D238D3">
        <w:rPr>
          <w:rFonts w:ascii="David" w:hAnsi="David"/>
          <w:b/>
          <w:bCs/>
          <w:sz w:val="26"/>
          <w:szCs w:val="26"/>
          <w:rtl/>
        </w:rPr>
        <w:t>לחוק, כדין החלטה בהשגה, החלטה המקנה גם זכות ערעור</w:t>
      </w:r>
      <w:r w:rsidRPr="00D238D3">
        <w:rPr>
          <w:rFonts w:ascii="David" w:hAnsi="David"/>
          <w:sz w:val="26"/>
          <w:szCs w:val="26"/>
        </w:rPr>
        <w:t>.</w:t>
      </w:r>
    </w:p>
    <w:p w:rsidR="00D238D3" w:rsidRDefault="00D238D3" w:rsidP="00D238D3">
      <w:pPr>
        <w:spacing w:before="240" w:line="360" w:lineRule="auto"/>
        <w:ind w:firstLine="720"/>
        <w:jc w:val="both"/>
        <w:rPr>
          <w:rFonts w:ascii="David" w:hAnsi="David"/>
          <w:sz w:val="26"/>
          <w:szCs w:val="26"/>
          <w:rtl/>
        </w:rPr>
      </w:pPr>
      <w:r>
        <w:rPr>
          <w:rFonts w:ascii="David" w:hAnsi="David"/>
          <w:sz w:val="26"/>
          <w:szCs w:val="26"/>
          <w:rtl/>
        </w:rPr>
        <w:t>ובהמשך, ולעניין הטלת כפל מס:</w:t>
      </w:r>
    </w:p>
    <w:p w:rsidR="00D238D3" w:rsidRDefault="00D238D3" w:rsidP="00D238D3">
      <w:pPr>
        <w:spacing w:before="240"/>
        <w:ind w:left="1077"/>
        <w:jc w:val="both"/>
        <w:rPr>
          <w:rFonts w:ascii="David" w:hAnsi="David"/>
          <w:b/>
          <w:bCs/>
          <w:sz w:val="26"/>
          <w:szCs w:val="26"/>
          <w:rtl/>
        </w:rPr>
      </w:pPr>
      <w:r>
        <w:rPr>
          <w:rFonts w:ascii="David" w:hAnsi="David"/>
          <w:b/>
          <w:bCs/>
          <w:sz w:val="26"/>
          <w:szCs w:val="26"/>
          <w:rtl/>
        </w:rPr>
        <w:t xml:space="preserve">"ועוד מבחינת מהות ההחלטה יש לקבוע כי </w:t>
      </w:r>
      <w:r w:rsidRPr="00C738EB">
        <w:rPr>
          <w:rFonts w:ascii="David" w:hAnsi="David"/>
          <w:b/>
          <w:bCs/>
          <w:sz w:val="26"/>
          <w:szCs w:val="26"/>
          <w:u w:val="single"/>
          <w:rtl/>
        </w:rPr>
        <w:t>כדי להחליט על כפל מס, יש להחליט תחילה מהו שיעור המס המתחייב. החלטה כזו במהותה היא הוצאת שומה</w:t>
      </w:r>
      <w:r>
        <w:rPr>
          <w:rFonts w:ascii="David" w:hAnsi="David"/>
          <w:b/>
          <w:bCs/>
          <w:sz w:val="26"/>
          <w:szCs w:val="26"/>
          <w:rtl/>
        </w:rPr>
        <w:t>, ויש לנהוג על פי הכללים הנהוגים לגבי שומה.</w:t>
      </w:r>
    </w:p>
    <w:p w:rsidR="00D238D3" w:rsidRDefault="00D238D3" w:rsidP="00D238D3">
      <w:pPr>
        <w:spacing w:before="240"/>
        <w:ind w:left="1077"/>
        <w:jc w:val="both"/>
        <w:rPr>
          <w:rFonts w:ascii="David" w:hAnsi="David"/>
          <w:b/>
          <w:bCs/>
          <w:sz w:val="26"/>
          <w:szCs w:val="26"/>
          <w:rtl/>
        </w:rPr>
      </w:pPr>
      <w:r>
        <w:rPr>
          <w:rFonts w:ascii="David" w:hAnsi="David"/>
          <w:b/>
          <w:bCs/>
          <w:sz w:val="26"/>
          <w:szCs w:val="26"/>
          <w:rtl/>
        </w:rPr>
        <w:t xml:space="preserve">הטלת כפל המס היא אף חמורה מהחלטה על הוצאת שומה בלבד, </w:t>
      </w:r>
      <w:r w:rsidRPr="00C738EB">
        <w:rPr>
          <w:rFonts w:ascii="David" w:hAnsi="David"/>
          <w:b/>
          <w:bCs/>
          <w:sz w:val="26"/>
          <w:szCs w:val="26"/>
          <w:u w:val="single"/>
          <w:rtl/>
        </w:rPr>
        <w:t>ומקל וחומר שיש להידרש בחומרת יתר לכל המגבלות הדיוניות החלות בנוגע לשומה....</w:t>
      </w:r>
    </w:p>
    <w:p w:rsidR="00D238D3" w:rsidRDefault="00D238D3" w:rsidP="00D238D3">
      <w:pPr>
        <w:spacing w:before="240"/>
        <w:ind w:left="1077"/>
        <w:jc w:val="both"/>
        <w:rPr>
          <w:rFonts w:ascii="David" w:hAnsi="David"/>
          <w:b/>
          <w:bCs/>
          <w:sz w:val="26"/>
          <w:szCs w:val="26"/>
          <w:rtl/>
        </w:rPr>
      </w:pPr>
      <w:r>
        <w:rPr>
          <w:rFonts w:ascii="David" w:hAnsi="David"/>
          <w:b/>
          <w:bCs/>
          <w:sz w:val="26"/>
          <w:szCs w:val="26"/>
          <w:rtl/>
        </w:rPr>
        <w:t>עולה בברור במקרה כזה כי החלטה על כפל מס דינה כדין שומה שהוצאה בצו, אחרי הליך של השגה. אלא שבמקרה כזה הליך ההשגה הוא אוטומטי ללא צורך בהגשת בקשה לקיומו...</w:t>
      </w:r>
    </w:p>
    <w:p w:rsidR="00D238D3" w:rsidRPr="00C738EB" w:rsidRDefault="00D238D3" w:rsidP="00D238D3">
      <w:pPr>
        <w:spacing w:before="240"/>
        <w:ind w:left="1077"/>
        <w:jc w:val="both"/>
        <w:rPr>
          <w:rFonts w:ascii="David" w:hAnsi="David"/>
          <w:b/>
          <w:bCs/>
          <w:sz w:val="26"/>
          <w:szCs w:val="26"/>
          <w:u w:val="single"/>
          <w:rtl/>
        </w:rPr>
      </w:pPr>
      <w:r>
        <w:rPr>
          <w:rFonts w:ascii="David" w:hAnsi="David"/>
          <w:b/>
          <w:bCs/>
          <w:sz w:val="26"/>
          <w:szCs w:val="26"/>
          <w:rtl/>
        </w:rPr>
        <w:t xml:space="preserve">התשובות שצוטטו לעיל מדגישות יתר על המידה שיש לראות בהחלטה על כפל המס כהחלטה של שומה שהוצאה – החלטה על שומה היא הכרחית אפוא ומהווה בסיס גם להחלטה על כפל המס. </w:t>
      </w:r>
      <w:r w:rsidRPr="00C738EB">
        <w:rPr>
          <w:rFonts w:ascii="David" w:hAnsi="David"/>
          <w:b/>
          <w:bCs/>
          <w:sz w:val="26"/>
          <w:szCs w:val="26"/>
          <w:u w:val="single"/>
          <w:rtl/>
        </w:rPr>
        <w:t>גם תוכנם של הדיונים שהתנהלו לקראת קבלת אותה החלטה, תומכים במסקנה כי מדובר בהליך שהוא במהותו השגה, על כל המשתמע מכך....</w:t>
      </w:r>
    </w:p>
    <w:p w:rsidR="00D238D3" w:rsidRDefault="00D238D3" w:rsidP="00D238D3">
      <w:pPr>
        <w:spacing w:before="240"/>
        <w:ind w:left="1077"/>
        <w:jc w:val="both"/>
        <w:rPr>
          <w:rFonts w:ascii="David" w:hAnsi="David"/>
          <w:b/>
          <w:bCs/>
          <w:sz w:val="26"/>
          <w:szCs w:val="26"/>
          <w:rtl/>
        </w:rPr>
      </w:pPr>
      <w:r>
        <w:rPr>
          <w:rFonts w:ascii="David" w:hAnsi="David"/>
          <w:b/>
          <w:bCs/>
          <w:sz w:val="26"/>
          <w:szCs w:val="26"/>
          <w:u w:val="single"/>
          <w:rtl/>
        </w:rPr>
        <w:lastRenderedPageBreak/>
        <w:t>המסקנה המתבקשת, הן לאור סעיפי החוק הרלוונטיים שהובאו לעיל, והן תוך בחינת מהות הליך קבלת ההחלטות בדבר כפל מס וקנס, כי יש לראות את ההליך המתנהל לקראת קבלת החלטות, כהליך של השגה, לרבות מועד קבלת ההחלטה ואופן המצאתה לנישום</w:t>
      </w:r>
      <w:r>
        <w:rPr>
          <w:rFonts w:ascii="David" w:hAnsi="David"/>
          <w:b/>
          <w:bCs/>
          <w:sz w:val="26"/>
          <w:szCs w:val="26"/>
          <w:rtl/>
        </w:rPr>
        <w:t>."</w:t>
      </w:r>
    </w:p>
    <w:p w:rsidR="00F352B9" w:rsidRDefault="00C738EB" w:rsidP="00F352B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hint="cs"/>
          <w:sz w:val="26"/>
          <w:szCs w:val="26"/>
          <w:rtl/>
        </w:rPr>
        <w:t xml:space="preserve">כאמור, טענת המערערים היא כי מכתב המערערים מהווה "השגה". עוד הם טוענים, עד כמה </w:t>
      </w:r>
      <w:r w:rsidR="00F352B9">
        <w:rPr>
          <w:rFonts w:ascii="David" w:hAnsi="David" w:cs="David" w:hint="cs"/>
          <w:sz w:val="26"/>
          <w:szCs w:val="26"/>
          <w:rtl/>
        </w:rPr>
        <w:t>שירדתי לסוף דעתם, כי מכתב המערערים, ולמעשה אף מכתב</w:t>
      </w:r>
      <w:r w:rsidR="007A56D9">
        <w:rPr>
          <w:rFonts w:ascii="David" w:hAnsi="David" w:cs="David" w:hint="cs"/>
          <w:sz w:val="26"/>
          <w:szCs w:val="26"/>
          <w:rtl/>
        </w:rPr>
        <w:t>י</w:t>
      </w:r>
      <w:r w:rsidR="00F352B9">
        <w:rPr>
          <w:rFonts w:ascii="David" w:hAnsi="David" w:cs="David" w:hint="cs"/>
          <w:sz w:val="26"/>
          <w:szCs w:val="26"/>
          <w:rtl/>
        </w:rPr>
        <w:t xml:space="preserve"> המשיב, נחשבים כ</w:t>
      </w:r>
      <w:r w:rsidR="007A56D9">
        <w:rPr>
          <w:rFonts w:ascii="David" w:hAnsi="David" w:cs="David" w:hint="cs"/>
          <w:sz w:val="26"/>
          <w:szCs w:val="26"/>
          <w:rtl/>
        </w:rPr>
        <w:t>[</w:t>
      </w:r>
      <w:r>
        <w:rPr>
          <w:rFonts w:ascii="David" w:hAnsi="David" w:cs="David" w:hint="cs"/>
          <w:sz w:val="26"/>
          <w:szCs w:val="26"/>
          <w:rtl/>
        </w:rPr>
        <w:t>תחילת</w:t>
      </w:r>
      <w:r w:rsidR="007A56D9">
        <w:rPr>
          <w:rFonts w:ascii="David" w:hAnsi="David" w:cs="David" w:hint="cs"/>
          <w:sz w:val="26"/>
          <w:szCs w:val="26"/>
          <w:rtl/>
        </w:rPr>
        <w:t>]</w:t>
      </w:r>
      <w:r>
        <w:rPr>
          <w:rFonts w:ascii="David" w:hAnsi="David" w:cs="David" w:hint="cs"/>
          <w:sz w:val="26"/>
          <w:szCs w:val="26"/>
          <w:rtl/>
        </w:rPr>
        <w:t xml:space="preserve"> </w:t>
      </w:r>
      <w:r w:rsidR="00F352B9">
        <w:rPr>
          <w:rFonts w:ascii="David" w:hAnsi="David" w:cs="David" w:hint="cs"/>
          <w:sz w:val="26"/>
          <w:szCs w:val="26"/>
          <w:rtl/>
        </w:rPr>
        <w:t>"</w:t>
      </w:r>
      <w:r>
        <w:rPr>
          <w:rFonts w:ascii="David" w:hAnsi="David" w:cs="David" w:hint="cs"/>
          <w:sz w:val="26"/>
          <w:szCs w:val="26"/>
          <w:rtl/>
        </w:rPr>
        <w:t xml:space="preserve">ההליך המתנהל </w:t>
      </w:r>
      <w:r w:rsidR="00F352B9">
        <w:rPr>
          <w:rFonts w:ascii="David" w:hAnsi="David" w:cs="David" w:hint="cs"/>
          <w:sz w:val="26"/>
          <w:szCs w:val="26"/>
          <w:rtl/>
        </w:rPr>
        <w:t xml:space="preserve">לקראת קבלת החלטות", </w:t>
      </w:r>
      <w:r>
        <w:rPr>
          <w:rFonts w:ascii="David" w:hAnsi="David" w:cs="David" w:hint="cs"/>
          <w:sz w:val="26"/>
          <w:szCs w:val="26"/>
          <w:rtl/>
        </w:rPr>
        <w:t xml:space="preserve">ומאחר שחלפה מעל שנה מאז </w:t>
      </w:r>
      <w:r w:rsidR="00F352B9">
        <w:rPr>
          <w:rFonts w:ascii="David" w:hAnsi="David" w:cs="David" w:hint="cs"/>
          <w:sz w:val="26"/>
          <w:szCs w:val="26"/>
          <w:rtl/>
        </w:rPr>
        <w:t xml:space="preserve">שנשלחו ועד שהתקבלו ההחלטות, </w:t>
      </w:r>
      <w:r w:rsidR="007A56D9">
        <w:rPr>
          <w:rFonts w:ascii="David" w:hAnsi="David" w:cs="David" w:hint="cs"/>
          <w:sz w:val="26"/>
          <w:szCs w:val="26"/>
          <w:rtl/>
        </w:rPr>
        <w:t>יש לראות בהשגת המערערים</w:t>
      </w:r>
      <w:r w:rsidR="00F352B9">
        <w:rPr>
          <w:rFonts w:ascii="David" w:hAnsi="David" w:cs="David" w:hint="cs"/>
          <w:sz w:val="26"/>
          <w:szCs w:val="26"/>
          <w:rtl/>
        </w:rPr>
        <w:t xml:space="preserve"> כאילו נתקבלה ולפיכך דינן של ההחלטות להיות בטלות. </w:t>
      </w:r>
    </w:p>
    <w:p w:rsidR="00D238D3" w:rsidRDefault="00C738EB" w:rsidP="00F352B9">
      <w:pPr>
        <w:pStyle w:val="ad"/>
        <w:numPr>
          <w:ilvl w:val="0"/>
          <w:numId w:val="1"/>
        </w:numPr>
        <w:spacing w:before="240" w:after="0" w:line="360" w:lineRule="auto"/>
        <w:contextualSpacing w:val="0"/>
        <w:jc w:val="both"/>
        <w:rPr>
          <w:rFonts w:ascii="David" w:hAnsi="David" w:cs="David"/>
          <w:sz w:val="26"/>
          <w:szCs w:val="26"/>
          <w:rtl/>
        </w:rPr>
      </w:pPr>
      <w:r>
        <w:rPr>
          <w:rFonts w:ascii="David" w:hAnsi="David" w:cs="David" w:hint="cs"/>
          <w:sz w:val="26"/>
          <w:szCs w:val="26"/>
          <w:rtl/>
        </w:rPr>
        <w:t>אלא ש</w:t>
      </w:r>
      <w:r w:rsidR="00D238D3">
        <w:rPr>
          <w:rFonts w:ascii="David" w:hAnsi="David" w:cs="David"/>
          <w:sz w:val="26"/>
          <w:szCs w:val="26"/>
          <w:rtl/>
        </w:rPr>
        <w:t>איני סבור כי ניתן לראות במכתב המערערים כהשגה. גם אם אתעלם מהעובדה כי לא בכותרת המכתב ולא בגוף המכתב צוין כי מדובר ב"השגה", הרי שברור הוא כי לא ניתן להתייחס למסמך שאינו כולל נימוקים כלשהם כהשגה. (ראו והשוו לע"מ 31393-07-11 א</w:t>
      </w:r>
      <w:r w:rsidR="00D238D3">
        <w:rPr>
          <w:rFonts w:ascii="David" w:hAnsi="David" w:cs="David"/>
          <w:b/>
          <w:bCs/>
          <w:sz w:val="26"/>
          <w:szCs w:val="26"/>
          <w:rtl/>
        </w:rPr>
        <w:t>.י.ג. סנטרפון שיווק מדיה (2002) בע"מ נ' מנהל מס ערך מוסף ת"א 3</w:t>
      </w:r>
      <w:r w:rsidR="00D238D3">
        <w:rPr>
          <w:rFonts w:ascii="David" w:hAnsi="David" w:cs="David"/>
          <w:sz w:val="26"/>
          <w:szCs w:val="26"/>
          <w:rtl/>
        </w:rPr>
        <w:t xml:space="preserve"> (12.8.2013). </w:t>
      </w:r>
    </w:p>
    <w:p w:rsidR="00D238D3" w:rsidRDefault="00D238D3" w:rsidP="007A56D9">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עיון במכתב המערערים מעלה כי אין בו נימוקים כלשהם. כל שיש בו הוא הודעה כי המערערים חולקים על עמדתו הלכאורית של המשיב</w:t>
      </w:r>
      <w:r w:rsidR="007A56D9">
        <w:rPr>
          <w:rFonts w:ascii="David" w:hAnsi="David" w:cs="David" w:hint="cs"/>
          <w:sz w:val="26"/>
          <w:szCs w:val="26"/>
          <w:rtl/>
        </w:rPr>
        <w:t>,</w:t>
      </w:r>
      <w:r>
        <w:rPr>
          <w:rFonts w:ascii="David" w:hAnsi="David" w:cs="David"/>
          <w:sz w:val="26"/>
          <w:szCs w:val="26"/>
          <w:rtl/>
        </w:rPr>
        <w:t xml:space="preserve"> וכי דורשים הם את חומרי החקירה לצורך השימוע אליו הוזמנו. ולא בכ</w:t>
      </w:r>
      <w:r w:rsidR="007A56D9">
        <w:rPr>
          <w:rFonts w:ascii="David" w:hAnsi="David" w:cs="David"/>
          <w:sz w:val="26"/>
          <w:szCs w:val="26"/>
          <w:rtl/>
        </w:rPr>
        <w:t>די אין במסמך נימוקים, שהרי מכתב</w:t>
      </w:r>
      <w:r w:rsidR="007A56D9">
        <w:rPr>
          <w:rFonts w:ascii="David" w:hAnsi="David" w:cs="David" w:hint="cs"/>
          <w:sz w:val="26"/>
          <w:szCs w:val="26"/>
          <w:rtl/>
        </w:rPr>
        <w:t>י</w:t>
      </w:r>
      <w:r>
        <w:rPr>
          <w:rFonts w:ascii="David" w:hAnsi="David" w:cs="David"/>
          <w:sz w:val="26"/>
          <w:szCs w:val="26"/>
          <w:rtl/>
        </w:rPr>
        <w:t xml:space="preserve"> המשיב </w:t>
      </w:r>
      <w:r w:rsidR="007A56D9">
        <w:rPr>
          <w:rFonts w:ascii="David" w:hAnsi="David" w:cs="David"/>
          <w:sz w:val="26"/>
          <w:szCs w:val="26"/>
          <w:rtl/>
        </w:rPr>
        <w:t>אינ</w:t>
      </w:r>
      <w:r w:rsidR="007A56D9">
        <w:rPr>
          <w:rFonts w:ascii="David" w:hAnsi="David" w:cs="David" w:hint="cs"/>
          <w:sz w:val="26"/>
          <w:szCs w:val="26"/>
          <w:rtl/>
        </w:rPr>
        <w:t>ם</w:t>
      </w:r>
      <w:r>
        <w:rPr>
          <w:rFonts w:ascii="David" w:hAnsi="David" w:cs="David"/>
          <w:sz w:val="26"/>
          <w:szCs w:val="26"/>
          <w:rtl/>
        </w:rPr>
        <w:t xml:space="preserve"> בגדר שומה (השווה לפס"ד </w:t>
      </w:r>
      <w:r>
        <w:rPr>
          <w:rFonts w:ascii="David" w:hAnsi="David" w:cs="David"/>
          <w:b/>
          <w:bCs/>
          <w:sz w:val="26"/>
          <w:szCs w:val="26"/>
          <w:rtl/>
        </w:rPr>
        <w:t>ים מרין</w:t>
      </w:r>
      <w:r>
        <w:rPr>
          <w:rFonts w:ascii="David" w:hAnsi="David" w:cs="David"/>
          <w:sz w:val="26"/>
          <w:szCs w:val="26"/>
          <w:rtl/>
        </w:rPr>
        <w:t xml:space="preserve">), ואם אין שומה - על מה ניתן להשיג וכיצד ניתן לנמק? </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ובאותה מידה – משעה שהנישום אינו טוען טענות לגופו של עניין ולא מסביר ומנמק על שום מה אין להטיל עליו כפל מס וקנס</w:t>
      </w:r>
      <w:r w:rsidR="00F352B9">
        <w:rPr>
          <w:rFonts w:ascii="David" w:hAnsi="David" w:cs="David" w:hint="cs"/>
          <w:sz w:val="26"/>
          <w:szCs w:val="26"/>
          <w:rtl/>
        </w:rPr>
        <w:t xml:space="preserve"> ולפסול את ספריו</w:t>
      </w:r>
      <w:r>
        <w:rPr>
          <w:rFonts w:ascii="David" w:hAnsi="David" w:cs="David"/>
          <w:sz w:val="26"/>
          <w:szCs w:val="26"/>
          <w:rtl/>
        </w:rPr>
        <w:t>, מה טעם יש לקבוע תקופת זמן מוגדרת במסגרתה נדרש המשיב לשקול עמדתו וליתן החלטתו</w:t>
      </w:r>
      <w:r w:rsidR="009D6080">
        <w:rPr>
          <w:rFonts w:ascii="David" w:hAnsi="David" w:cs="David" w:hint="cs"/>
          <w:sz w:val="26"/>
          <w:szCs w:val="26"/>
          <w:rtl/>
        </w:rPr>
        <w:t>,</w:t>
      </w:r>
      <w:r>
        <w:rPr>
          <w:rFonts w:ascii="David" w:hAnsi="David" w:cs="David"/>
          <w:sz w:val="26"/>
          <w:szCs w:val="26"/>
          <w:rtl/>
        </w:rPr>
        <w:t xml:space="preserve"> אם אין בפניו נימוק אותו הוא יכול לשקול ולגביו הוא יכול להחליט? </w:t>
      </w:r>
    </w:p>
    <w:p w:rsidR="00D238D3" w:rsidRDefault="00D238D3" w:rsidP="009D6080">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אין זאת אלא, כי גם אם אעדיף את מסקנתו של בית משפט בפס"ד </w:t>
      </w:r>
      <w:r>
        <w:rPr>
          <w:rFonts w:ascii="David" w:hAnsi="David" w:cs="David"/>
          <w:b/>
          <w:bCs/>
          <w:sz w:val="26"/>
          <w:szCs w:val="26"/>
          <w:rtl/>
        </w:rPr>
        <w:t>טכנו</w:t>
      </w:r>
      <w:r>
        <w:rPr>
          <w:rFonts w:ascii="David" w:hAnsi="David" w:cs="David"/>
          <w:sz w:val="26"/>
          <w:szCs w:val="26"/>
          <w:rtl/>
        </w:rPr>
        <w:t xml:space="preserve"> על פני זו של בית המשפט בעניין </w:t>
      </w:r>
      <w:r>
        <w:rPr>
          <w:rFonts w:ascii="David" w:hAnsi="David" w:cs="David"/>
          <w:b/>
          <w:bCs/>
          <w:sz w:val="26"/>
          <w:szCs w:val="26"/>
          <w:rtl/>
        </w:rPr>
        <w:t xml:space="preserve">ים </w:t>
      </w:r>
      <w:r w:rsidR="009D6080">
        <w:rPr>
          <w:rFonts w:ascii="David" w:hAnsi="David" w:cs="David" w:hint="cs"/>
          <w:b/>
          <w:bCs/>
          <w:sz w:val="26"/>
          <w:szCs w:val="26"/>
          <w:rtl/>
        </w:rPr>
        <w:t>מ</w:t>
      </w:r>
      <w:r>
        <w:rPr>
          <w:rFonts w:ascii="David" w:hAnsi="David" w:cs="David"/>
          <w:b/>
          <w:bCs/>
          <w:sz w:val="26"/>
          <w:szCs w:val="26"/>
          <w:rtl/>
        </w:rPr>
        <w:t>רין</w:t>
      </w:r>
      <w:r w:rsidR="009D6080">
        <w:rPr>
          <w:rFonts w:ascii="David" w:hAnsi="David" w:cs="David" w:hint="cs"/>
          <w:b/>
          <w:bCs/>
          <w:sz w:val="26"/>
          <w:szCs w:val="26"/>
          <w:rtl/>
        </w:rPr>
        <w:t>,</w:t>
      </w:r>
      <w:r>
        <w:rPr>
          <w:rFonts w:ascii="David" w:hAnsi="David" w:cs="David"/>
          <w:sz w:val="26"/>
          <w:szCs w:val="26"/>
          <w:rtl/>
        </w:rPr>
        <w:t xml:space="preserve"> לפיה יש להחיל לגבי החלטות בדבר כפל מס, קנס ופסילת ספרים את סעיף 82 לחוק בעניין ה</w:t>
      </w:r>
      <w:r w:rsidR="009D6080">
        <w:rPr>
          <w:rFonts w:ascii="David" w:hAnsi="David" w:cs="David" w:hint="cs"/>
          <w:sz w:val="26"/>
          <w:szCs w:val="26"/>
          <w:rtl/>
        </w:rPr>
        <w:t>ה</w:t>
      </w:r>
      <w:r>
        <w:rPr>
          <w:rFonts w:ascii="David" w:hAnsi="David" w:cs="David"/>
          <w:sz w:val="26"/>
          <w:szCs w:val="26"/>
          <w:rtl/>
        </w:rPr>
        <w:t xml:space="preserve">תיישנות, וגם אם אאמץ את דברי בית המשפט בפס"ד </w:t>
      </w:r>
      <w:r w:rsidRPr="009D6080">
        <w:rPr>
          <w:rFonts w:ascii="David" w:hAnsi="David" w:cs="David"/>
          <w:b/>
          <w:bCs/>
          <w:sz w:val="26"/>
          <w:szCs w:val="26"/>
          <w:rtl/>
        </w:rPr>
        <w:t>טכנו</w:t>
      </w:r>
      <w:r>
        <w:rPr>
          <w:rFonts w:ascii="David" w:hAnsi="David" w:cs="David"/>
          <w:sz w:val="26"/>
          <w:szCs w:val="26"/>
          <w:rtl/>
        </w:rPr>
        <w:t xml:space="preserve"> לפיהם "יש לראות את ההליך המתנהל לקראת קבלת החלטות, כהליך של השגה, לרבות מועד קבלת ההחלטה ואופן המצאתה לנישום", ברור בעייני כי לא ניתן לראות במכתב המערערים כ</w:t>
      </w:r>
      <w:r>
        <w:rPr>
          <w:rFonts w:ascii="David" w:hAnsi="David" w:cs="David"/>
          <w:b/>
          <w:bCs/>
          <w:sz w:val="26"/>
          <w:szCs w:val="26"/>
          <w:rtl/>
        </w:rPr>
        <w:t xml:space="preserve">"הליך המתנהל לקראת קבלת </w:t>
      </w:r>
      <w:r>
        <w:rPr>
          <w:rFonts w:ascii="David" w:hAnsi="David" w:cs="David"/>
          <w:b/>
          <w:bCs/>
          <w:sz w:val="26"/>
          <w:szCs w:val="26"/>
          <w:rtl/>
        </w:rPr>
        <w:lastRenderedPageBreak/>
        <w:t>החלטות"</w:t>
      </w:r>
      <w:r>
        <w:rPr>
          <w:rFonts w:ascii="David" w:hAnsi="David" w:cs="David"/>
          <w:sz w:val="26"/>
          <w:szCs w:val="26"/>
          <w:rtl/>
        </w:rPr>
        <w:t xml:space="preserve"> וממילא אף לא כהשגה, לא לצורך סעיף 82 </w:t>
      </w:r>
      <w:r w:rsidR="009D6080">
        <w:rPr>
          <w:rFonts w:ascii="David" w:hAnsi="David" w:cs="David" w:hint="cs"/>
          <w:sz w:val="26"/>
          <w:szCs w:val="26"/>
          <w:rtl/>
        </w:rPr>
        <w:t xml:space="preserve">לחוק </w:t>
      </w:r>
      <w:r>
        <w:rPr>
          <w:rFonts w:ascii="David" w:hAnsi="David" w:cs="David"/>
          <w:sz w:val="26"/>
          <w:szCs w:val="26"/>
          <w:rtl/>
        </w:rPr>
        <w:t xml:space="preserve">ולא בכלל. על אחת כמה וכמה </w:t>
      </w:r>
      <w:r w:rsidR="007A56D9">
        <w:rPr>
          <w:rFonts w:ascii="David" w:hAnsi="David" w:cs="David" w:hint="cs"/>
          <w:sz w:val="26"/>
          <w:szCs w:val="26"/>
          <w:rtl/>
        </w:rPr>
        <w:t>ש</w:t>
      </w:r>
      <w:r>
        <w:rPr>
          <w:rFonts w:ascii="David" w:hAnsi="David" w:cs="David"/>
          <w:sz w:val="26"/>
          <w:szCs w:val="26"/>
          <w:rtl/>
        </w:rPr>
        <w:t>אין לראות במכתב</w:t>
      </w:r>
      <w:r w:rsidR="007A56D9">
        <w:rPr>
          <w:rFonts w:ascii="David" w:hAnsi="David" w:cs="David" w:hint="cs"/>
          <w:sz w:val="26"/>
          <w:szCs w:val="26"/>
          <w:rtl/>
        </w:rPr>
        <w:t>י</w:t>
      </w:r>
      <w:r>
        <w:rPr>
          <w:rFonts w:ascii="David" w:hAnsi="David" w:cs="David"/>
          <w:sz w:val="26"/>
          <w:szCs w:val="26"/>
          <w:rtl/>
        </w:rPr>
        <w:t xml:space="preserve"> המשיב כהליך המתנהל לקראת קבלת החלטה</w:t>
      </w:r>
      <w:r w:rsidR="007A56D9">
        <w:rPr>
          <w:rFonts w:ascii="David" w:hAnsi="David" w:cs="David" w:hint="cs"/>
          <w:sz w:val="26"/>
          <w:szCs w:val="26"/>
          <w:rtl/>
        </w:rPr>
        <w:t>,</w:t>
      </w:r>
      <w:r w:rsidR="009D6080">
        <w:rPr>
          <w:rFonts w:ascii="David" w:hAnsi="David" w:cs="David" w:hint="cs"/>
          <w:sz w:val="26"/>
          <w:szCs w:val="26"/>
          <w:rtl/>
        </w:rPr>
        <w:t xml:space="preserve"> וממילא אף לא כהשגה הכפופה להתיישנות</w:t>
      </w:r>
      <w:r>
        <w:rPr>
          <w:rFonts w:ascii="David" w:hAnsi="David" w:cs="David"/>
          <w:sz w:val="26"/>
          <w:szCs w:val="26"/>
          <w:rtl/>
        </w:rPr>
        <w:t>. ככותרתו כך מהותו: הזמנה לשימוע. זאת ותו לא.</w:t>
      </w:r>
    </w:p>
    <w:p w:rsidR="00D238D3" w:rsidRDefault="00234598" w:rsidP="00234598">
      <w:pPr>
        <w:pStyle w:val="ad"/>
        <w:numPr>
          <w:ilvl w:val="0"/>
          <w:numId w:val="1"/>
        </w:numPr>
        <w:spacing w:before="240" w:after="0" w:line="360" w:lineRule="auto"/>
        <w:contextualSpacing w:val="0"/>
        <w:jc w:val="both"/>
        <w:rPr>
          <w:rFonts w:ascii="David" w:hAnsi="David" w:cs="David"/>
          <w:sz w:val="26"/>
          <w:szCs w:val="26"/>
        </w:rPr>
      </w:pPr>
      <w:r>
        <w:rPr>
          <w:rFonts w:ascii="David" w:hAnsi="David" w:cs="David" w:hint="cs"/>
          <w:sz w:val="26"/>
          <w:szCs w:val="26"/>
          <w:rtl/>
        </w:rPr>
        <w:t xml:space="preserve">נראה כי </w:t>
      </w:r>
      <w:r w:rsidR="00D238D3">
        <w:rPr>
          <w:rFonts w:ascii="David" w:hAnsi="David" w:cs="David"/>
          <w:sz w:val="26"/>
          <w:szCs w:val="26"/>
          <w:rtl/>
        </w:rPr>
        <w:t xml:space="preserve">התפיסה שעמדה ביסוד מסקנת בית המשפט בפס"ד </w:t>
      </w:r>
      <w:r w:rsidR="00D238D3">
        <w:rPr>
          <w:rFonts w:ascii="David" w:hAnsi="David" w:cs="David"/>
          <w:b/>
          <w:bCs/>
          <w:sz w:val="26"/>
          <w:szCs w:val="26"/>
          <w:rtl/>
        </w:rPr>
        <w:t>טכנו</w:t>
      </w:r>
      <w:r w:rsidR="00D238D3">
        <w:rPr>
          <w:rFonts w:ascii="David" w:hAnsi="David" w:cs="David"/>
          <w:sz w:val="26"/>
          <w:szCs w:val="26"/>
          <w:rtl/>
        </w:rPr>
        <w:t xml:space="preserve"> היא</w:t>
      </w:r>
      <w:r>
        <w:rPr>
          <w:rFonts w:ascii="David" w:hAnsi="David" w:cs="David" w:hint="cs"/>
          <w:sz w:val="26"/>
          <w:szCs w:val="26"/>
          <w:rtl/>
        </w:rPr>
        <w:t>,</w:t>
      </w:r>
      <w:r w:rsidR="00D238D3">
        <w:rPr>
          <w:rFonts w:ascii="David" w:hAnsi="David" w:cs="David"/>
          <w:sz w:val="26"/>
          <w:szCs w:val="26"/>
          <w:rtl/>
        </w:rPr>
        <w:t xml:space="preserve"> כי הליך השימוע, במסגרתו מתקיים דיון </w:t>
      </w:r>
      <w:r w:rsidR="00D238D3">
        <w:rPr>
          <w:rFonts w:ascii="David" w:hAnsi="David" w:cs="David"/>
          <w:b/>
          <w:bCs/>
          <w:sz w:val="26"/>
          <w:szCs w:val="26"/>
          <w:rtl/>
        </w:rPr>
        <w:t>ענייני</w:t>
      </w:r>
      <w:r w:rsidR="00D238D3">
        <w:rPr>
          <w:rFonts w:ascii="David" w:hAnsi="David" w:cs="David"/>
          <w:sz w:val="26"/>
          <w:szCs w:val="26"/>
          <w:rtl/>
        </w:rPr>
        <w:t xml:space="preserve"> בסוגיות שבמחלוקת, דומה מבחינה מהותית להליך </w:t>
      </w:r>
      <w:r>
        <w:rPr>
          <w:rFonts w:ascii="David" w:hAnsi="David" w:cs="David" w:hint="cs"/>
          <w:sz w:val="26"/>
          <w:szCs w:val="26"/>
          <w:rtl/>
        </w:rPr>
        <w:t xml:space="preserve">של השגה המוגשת בעקבות שומה; </w:t>
      </w:r>
      <w:r w:rsidR="00D238D3">
        <w:rPr>
          <w:rFonts w:ascii="David" w:hAnsi="David" w:cs="David"/>
          <w:sz w:val="26"/>
          <w:szCs w:val="26"/>
          <w:rtl/>
        </w:rPr>
        <w:t>המשיב מציג את עמדתו הלכאורית לפיה יש להטיל כפל מס וקנס ו</w:t>
      </w:r>
      <w:r>
        <w:rPr>
          <w:rFonts w:ascii="David" w:hAnsi="David" w:cs="David" w:hint="cs"/>
          <w:sz w:val="26"/>
          <w:szCs w:val="26"/>
          <w:rtl/>
        </w:rPr>
        <w:t>לפסול את הספרים, ו</w:t>
      </w:r>
      <w:r w:rsidR="00D238D3">
        <w:rPr>
          <w:rFonts w:ascii="David" w:hAnsi="David" w:cs="David"/>
          <w:sz w:val="26"/>
          <w:szCs w:val="26"/>
          <w:rtl/>
        </w:rPr>
        <w:t xml:space="preserve">מנמק </w:t>
      </w:r>
      <w:r>
        <w:rPr>
          <w:rFonts w:ascii="David" w:hAnsi="David" w:cs="David" w:hint="cs"/>
          <w:sz w:val="26"/>
          <w:szCs w:val="26"/>
          <w:rtl/>
        </w:rPr>
        <w:t>עמדתו זו;</w:t>
      </w:r>
      <w:r w:rsidR="00D238D3">
        <w:rPr>
          <w:rFonts w:ascii="David" w:hAnsi="David" w:cs="David"/>
          <w:sz w:val="26"/>
          <w:szCs w:val="26"/>
          <w:rtl/>
        </w:rPr>
        <w:t xml:space="preserve"> הנישום</w:t>
      </w:r>
      <w:r>
        <w:rPr>
          <w:rFonts w:ascii="David" w:hAnsi="David" w:cs="David" w:hint="cs"/>
          <w:sz w:val="26"/>
          <w:szCs w:val="26"/>
          <w:rtl/>
        </w:rPr>
        <w:t>, מצדו,</w:t>
      </w:r>
      <w:r w:rsidR="00D238D3">
        <w:rPr>
          <w:rFonts w:ascii="David" w:hAnsi="David" w:cs="David"/>
          <w:sz w:val="26"/>
          <w:szCs w:val="26"/>
          <w:rtl/>
        </w:rPr>
        <w:t xml:space="preserve"> מציג את טיעוניו ונימוקיו לכך שאין מקום לעשות כן. להליך מסוג זה אפשר וניתן להתייחס כ"השגה"</w:t>
      </w:r>
      <w:r w:rsidR="00B23C2E">
        <w:rPr>
          <w:rFonts w:ascii="David" w:hAnsi="David" w:cs="David" w:hint="cs"/>
          <w:sz w:val="26"/>
          <w:szCs w:val="26"/>
          <w:rtl/>
        </w:rPr>
        <w:t>,</w:t>
      </w:r>
      <w:r w:rsidR="00D238D3">
        <w:rPr>
          <w:rFonts w:ascii="David" w:hAnsi="David" w:cs="David"/>
          <w:sz w:val="26"/>
          <w:szCs w:val="26"/>
          <w:rtl/>
        </w:rPr>
        <w:t xml:space="preserve"> ולפיכך אף יש לצפות מהמשיב כי יסיים את שקילת דעתו ויחליט בעניינו של הנישום בתוך התקופה הקבועה בסעיף 82 לחוק. באותה מידה יש מקום להעמיד לטובת הנישום חזקה לפיה</w:t>
      </w:r>
      <w:r>
        <w:rPr>
          <w:rFonts w:ascii="David" w:hAnsi="David" w:cs="David" w:hint="cs"/>
          <w:sz w:val="26"/>
          <w:szCs w:val="26"/>
          <w:rtl/>
        </w:rPr>
        <w:t>,</w:t>
      </w:r>
      <w:r w:rsidR="00D238D3">
        <w:rPr>
          <w:rFonts w:ascii="David" w:hAnsi="David" w:cs="David"/>
          <w:sz w:val="26"/>
          <w:szCs w:val="26"/>
          <w:rtl/>
        </w:rPr>
        <w:t xml:space="preserve"> אם לא ניתנה החלטה בתוך אותה תקופה, יכול הוא להניח כי המשיב קיבל את הסבריו ואת נימוקיו והחליט שלא להטיל עליו כפל מס וקנס</w:t>
      </w:r>
      <w:r w:rsidR="00B23C2E">
        <w:rPr>
          <w:rFonts w:ascii="David" w:hAnsi="David" w:cs="David" w:hint="cs"/>
          <w:sz w:val="26"/>
          <w:szCs w:val="26"/>
          <w:rtl/>
        </w:rPr>
        <w:t xml:space="preserve"> ולפסול את ספריו</w:t>
      </w:r>
      <w:r w:rsidR="00D238D3">
        <w:rPr>
          <w:rFonts w:ascii="David" w:hAnsi="David" w:cs="David"/>
          <w:sz w:val="26"/>
          <w:szCs w:val="26"/>
          <w:rtl/>
        </w:rPr>
        <w:t xml:space="preserve">, </w:t>
      </w:r>
      <w:r w:rsidR="00B23C2E">
        <w:rPr>
          <w:rFonts w:ascii="David" w:hAnsi="David" w:cs="David" w:hint="cs"/>
          <w:sz w:val="26"/>
          <w:szCs w:val="26"/>
          <w:rtl/>
        </w:rPr>
        <w:t>ו</w:t>
      </w:r>
      <w:r w:rsidR="00D238D3">
        <w:rPr>
          <w:rFonts w:ascii="David" w:hAnsi="David" w:cs="David"/>
          <w:sz w:val="26"/>
          <w:szCs w:val="26"/>
          <w:rtl/>
        </w:rPr>
        <w:t xml:space="preserve">כי קיימת בידו טענת הסתמכות.  </w:t>
      </w:r>
    </w:p>
    <w:p w:rsidR="00D238D3" w:rsidRDefault="00D238D3" w:rsidP="00234598">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ברור לפיכך</w:t>
      </w:r>
      <w:r w:rsidR="00234598">
        <w:rPr>
          <w:rFonts w:ascii="David" w:hAnsi="David" w:cs="David" w:hint="cs"/>
          <w:sz w:val="26"/>
          <w:szCs w:val="26"/>
          <w:rtl/>
        </w:rPr>
        <w:t>,</w:t>
      </w:r>
      <w:r>
        <w:rPr>
          <w:rFonts w:ascii="David" w:hAnsi="David" w:cs="David"/>
          <w:sz w:val="26"/>
          <w:szCs w:val="26"/>
          <w:rtl/>
        </w:rPr>
        <w:t xml:space="preserve"> כי מכתב המודיע לנישום על הכוונה להטיל עליו כפל מס וקנס ומזמין אותו לשימוע, או מכתב שבו מבקש הנישום לקבל הסבר באשר לטענותיו של מנהל מע"מ ומודיע על רצונו להגיע לשימוע, אינו דומה בשום דרך ל"השגה"</w:t>
      </w:r>
      <w:r w:rsidR="00234598">
        <w:rPr>
          <w:rFonts w:ascii="David" w:hAnsi="David" w:cs="David" w:hint="cs"/>
          <w:sz w:val="26"/>
          <w:szCs w:val="26"/>
          <w:rtl/>
        </w:rPr>
        <w:t>,</w:t>
      </w:r>
      <w:r>
        <w:rPr>
          <w:rFonts w:ascii="David" w:hAnsi="David" w:cs="David"/>
          <w:sz w:val="26"/>
          <w:szCs w:val="26"/>
          <w:rtl/>
        </w:rPr>
        <w:t xml:space="preserve"> שעליה </w:t>
      </w:r>
      <w:r w:rsidR="00234598">
        <w:rPr>
          <w:rFonts w:ascii="David" w:hAnsi="David" w:cs="David" w:hint="cs"/>
          <w:sz w:val="26"/>
          <w:szCs w:val="26"/>
          <w:rtl/>
        </w:rPr>
        <w:t xml:space="preserve">אפשר שראוי ונכון </w:t>
      </w:r>
      <w:r>
        <w:rPr>
          <w:rFonts w:ascii="David" w:hAnsi="David" w:cs="David"/>
          <w:sz w:val="26"/>
          <w:szCs w:val="26"/>
          <w:rtl/>
        </w:rPr>
        <w:t>להחיל את כלל ההתיישנות הקבוע בסעיף 82 לחוק.</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לא מצאתי ממש בטענותיהם הנוספות של המערערים ובכלל זאת הטענה כי המשיב לא כלל בכתב התשובה התייחסות לטענת ההתיישנות. אכן</w:t>
      </w:r>
      <w:r w:rsidR="00234598">
        <w:rPr>
          <w:rFonts w:ascii="David" w:hAnsi="David" w:cs="David" w:hint="cs"/>
          <w:sz w:val="26"/>
          <w:szCs w:val="26"/>
          <w:rtl/>
        </w:rPr>
        <w:t>,</w:t>
      </w:r>
      <w:r>
        <w:rPr>
          <w:rFonts w:ascii="David" w:hAnsi="David" w:cs="David"/>
          <w:sz w:val="26"/>
          <w:szCs w:val="26"/>
          <w:rtl/>
        </w:rPr>
        <w:t xml:space="preserve"> המשיב לא הרחיב בעניין זה, אך הבהיר כי לפי עמדתו לא חלה התיישנות נוכח המועד</w:t>
      </w:r>
      <w:r w:rsidR="00B23C2E">
        <w:rPr>
          <w:rFonts w:ascii="David" w:hAnsi="David" w:cs="David" w:hint="cs"/>
          <w:sz w:val="26"/>
          <w:szCs w:val="26"/>
          <w:rtl/>
        </w:rPr>
        <w:t>ים</w:t>
      </w:r>
      <w:r w:rsidR="00B23C2E">
        <w:rPr>
          <w:rFonts w:ascii="David" w:hAnsi="David" w:cs="David"/>
          <w:sz w:val="26"/>
          <w:szCs w:val="26"/>
          <w:rtl/>
        </w:rPr>
        <w:t xml:space="preserve"> שב</w:t>
      </w:r>
      <w:r w:rsidR="00B23C2E">
        <w:rPr>
          <w:rFonts w:ascii="David" w:hAnsi="David" w:cs="David" w:hint="cs"/>
          <w:sz w:val="26"/>
          <w:szCs w:val="26"/>
          <w:rtl/>
        </w:rPr>
        <w:t>הם</w:t>
      </w:r>
      <w:r>
        <w:rPr>
          <w:rFonts w:ascii="David" w:hAnsi="David" w:cs="David"/>
          <w:sz w:val="26"/>
          <w:szCs w:val="26"/>
          <w:rtl/>
        </w:rPr>
        <w:t xml:space="preserve"> התקיימו השימועים (סעיף 85 לכתב התשובה). </w:t>
      </w:r>
    </w:p>
    <w:p w:rsidR="00D238D3" w:rsidRDefault="00D238D3" w:rsidP="00E12042">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כמו כן לא מצאתי תמיכה לעמדתם של המערערים בהוראת תאמ"ו 67.1 משנת 1997 לעניין רישום השגה שאינה מנומקת. לא רק שבמקרה דנן, וכאמור, לא צוין </w:t>
      </w:r>
      <w:r w:rsidR="00234598">
        <w:rPr>
          <w:rFonts w:ascii="David" w:hAnsi="David" w:cs="David" w:hint="cs"/>
          <w:sz w:val="26"/>
          <w:szCs w:val="26"/>
          <w:rtl/>
        </w:rPr>
        <w:t>במכ</w:t>
      </w:r>
      <w:r w:rsidR="00E12042">
        <w:rPr>
          <w:rFonts w:ascii="David" w:hAnsi="David" w:cs="David" w:hint="cs"/>
          <w:sz w:val="26"/>
          <w:szCs w:val="26"/>
          <w:rtl/>
        </w:rPr>
        <w:t xml:space="preserve">תב המערערים </w:t>
      </w:r>
      <w:r>
        <w:rPr>
          <w:rFonts w:ascii="David" w:hAnsi="David" w:cs="David"/>
          <w:sz w:val="26"/>
          <w:szCs w:val="26"/>
          <w:rtl/>
        </w:rPr>
        <w:t>כי מדובר ב"השגה"</w:t>
      </w:r>
      <w:r w:rsidR="00E12042">
        <w:rPr>
          <w:rFonts w:ascii="David" w:hAnsi="David" w:cs="David"/>
          <w:sz w:val="26"/>
          <w:szCs w:val="26"/>
          <w:rtl/>
        </w:rPr>
        <w:t>, אלא שלא ניתן ללמוד מאותה הורא</w:t>
      </w:r>
      <w:r w:rsidR="00E12042">
        <w:rPr>
          <w:rFonts w:ascii="David" w:hAnsi="David" w:cs="David" w:hint="cs"/>
          <w:sz w:val="26"/>
          <w:szCs w:val="26"/>
          <w:rtl/>
        </w:rPr>
        <w:t>ת תאמ"ו</w:t>
      </w:r>
      <w:r>
        <w:rPr>
          <w:rFonts w:ascii="David" w:hAnsi="David" w:cs="David"/>
          <w:sz w:val="26"/>
          <w:szCs w:val="26"/>
          <w:rtl/>
        </w:rPr>
        <w:t xml:space="preserve"> כי "השגה" </w:t>
      </w:r>
      <w:r w:rsidR="00B23C2E">
        <w:rPr>
          <w:rFonts w:ascii="David" w:hAnsi="David" w:cs="David" w:hint="cs"/>
          <w:sz w:val="26"/>
          <w:szCs w:val="26"/>
          <w:rtl/>
        </w:rPr>
        <w:t xml:space="preserve">שאינה מנומקת </w:t>
      </w:r>
      <w:r w:rsidR="00E12042">
        <w:rPr>
          <w:rFonts w:ascii="David" w:hAnsi="David" w:cs="David"/>
          <w:sz w:val="26"/>
          <w:szCs w:val="26"/>
          <w:rtl/>
        </w:rPr>
        <w:t>מתיישנת</w:t>
      </w:r>
      <w:r w:rsidR="00E12042">
        <w:rPr>
          <w:rFonts w:ascii="David" w:hAnsi="David" w:cs="David" w:hint="cs"/>
          <w:sz w:val="26"/>
          <w:szCs w:val="26"/>
          <w:rtl/>
        </w:rPr>
        <w:t>, דהיינו כי רואים אותה כאילו התקבלה.</w:t>
      </w:r>
      <w:r>
        <w:rPr>
          <w:rFonts w:ascii="David" w:hAnsi="David" w:cs="David"/>
          <w:sz w:val="26"/>
          <w:szCs w:val="26"/>
          <w:rtl/>
        </w:rPr>
        <w:t xml:space="preserve"> בוודאי שאין </w:t>
      </w:r>
      <w:r w:rsidR="00E12042">
        <w:rPr>
          <w:rFonts w:ascii="David" w:hAnsi="David" w:cs="David" w:hint="cs"/>
          <w:sz w:val="26"/>
          <w:szCs w:val="26"/>
          <w:rtl/>
        </w:rPr>
        <w:t>ל</w:t>
      </w:r>
      <w:r>
        <w:rPr>
          <w:rFonts w:ascii="David" w:hAnsi="David" w:cs="David"/>
          <w:sz w:val="26"/>
          <w:szCs w:val="26"/>
          <w:rtl/>
        </w:rPr>
        <w:t xml:space="preserve">כך </w:t>
      </w:r>
      <w:r w:rsidR="00E12042">
        <w:rPr>
          <w:rFonts w:ascii="David" w:hAnsi="David" w:cs="David" w:hint="cs"/>
          <w:sz w:val="26"/>
          <w:szCs w:val="26"/>
          <w:rtl/>
        </w:rPr>
        <w:t xml:space="preserve">מקום </w:t>
      </w:r>
      <w:r>
        <w:rPr>
          <w:rFonts w:ascii="David" w:hAnsi="David" w:cs="David"/>
          <w:sz w:val="26"/>
          <w:szCs w:val="26"/>
          <w:rtl/>
        </w:rPr>
        <w:t xml:space="preserve">כאשר בסופו של יום נערך שימוע </w:t>
      </w:r>
      <w:r w:rsidR="00E12042">
        <w:rPr>
          <w:rFonts w:ascii="David" w:hAnsi="David" w:cs="David" w:hint="cs"/>
          <w:sz w:val="26"/>
          <w:szCs w:val="26"/>
          <w:rtl/>
        </w:rPr>
        <w:t xml:space="preserve">לנישום </w:t>
      </w:r>
      <w:r>
        <w:rPr>
          <w:rFonts w:ascii="David" w:hAnsi="David" w:cs="David"/>
          <w:sz w:val="26"/>
          <w:szCs w:val="26"/>
          <w:rtl/>
        </w:rPr>
        <w:t xml:space="preserve">שבו הוצגו </w:t>
      </w:r>
      <w:r w:rsidR="00E12042">
        <w:rPr>
          <w:rFonts w:ascii="David" w:hAnsi="David" w:cs="David" w:hint="cs"/>
          <w:sz w:val="26"/>
          <w:szCs w:val="26"/>
          <w:rtl/>
        </w:rPr>
        <w:t xml:space="preserve">על ידו </w:t>
      </w:r>
      <w:r>
        <w:rPr>
          <w:rFonts w:ascii="David" w:hAnsi="David" w:cs="David"/>
          <w:sz w:val="26"/>
          <w:szCs w:val="26"/>
          <w:rtl/>
        </w:rPr>
        <w:t xml:space="preserve">נימוקים, אליהם נדרש </w:t>
      </w:r>
      <w:r w:rsidR="00E12042">
        <w:rPr>
          <w:rFonts w:ascii="David" w:hAnsi="David" w:cs="David" w:hint="cs"/>
          <w:sz w:val="26"/>
          <w:szCs w:val="26"/>
          <w:rtl/>
        </w:rPr>
        <w:t xml:space="preserve">מנהל מע"מ </w:t>
      </w:r>
      <w:r>
        <w:rPr>
          <w:rFonts w:ascii="David" w:hAnsi="David" w:cs="David"/>
          <w:sz w:val="26"/>
          <w:szCs w:val="26"/>
          <w:rtl/>
        </w:rPr>
        <w:t>להתייחס בהחלטתו אם להטיל כפל מס וקנס ולפסול את הספרים.</w:t>
      </w:r>
    </w:p>
    <w:p w:rsidR="00B23C2E" w:rsidRPr="00E12042" w:rsidRDefault="00B23C2E" w:rsidP="00B23C2E">
      <w:pPr>
        <w:pStyle w:val="ad"/>
        <w:spacing w:before="240" w:after="0" w:line="360" w:lineRule="auto"/>
        <w:contextualSpacing w:val="0"/>
        <w:jc w:val="both"/>
        <w:rPr>
          <w:rFonts w:ascii="David" w:hAnsi="David" w:cs="David"/>
          <w:sz w:val="26"/>
          <w:szCs w:val="26"/>
        </w:rPr>
      </w:pP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סוף דבר – טענתם המקדמית של המערערים ל</w:t>
      </w:r>
      <w:r w:rsidR="00B23C2E">
        <w:rPr>
          <w:rFonts w:ascii="David" w:hAnsi="David" w:cs="David" w:hint="cs"/>
          <w:sz w:val="26"/>
          <w:szCs w:val="26"/>
          <w:rtl/>
        </w:rPr>
        <w:t xml:space="preserve">קיומה של </w:t>
      </w:r>
      <w:r>
        <w:rPr>
          <w:rFonts w:ascii="David" w:hAnsi="David" w:cs="David"/>
          <w:sz w:val="26"/>
          <w:szCs w:val="26"/>
          <w:rtl/>
        </w:rPr>
        <w:t>התיישנות</w:t>
      </w:r>
      <w:r w:rsidR="00B23C2E">
        <w:rPr>
          <w:rFonts w:ascii="David" w:hAnsi="David" w:cs="David" w:hint="cs"/>
          <w:sz w:val="26"/>
          <w:szCs w:val="26"/>
          <w:rtl/>
        </w:rPr>
        <w:t>,</w:t>
      </w:r>
      <w:r>
        <w:rPr>
          <w:rFonts w:ascii="David" w:hAnsi="David" w:cs="David"/>
          <w:sz w:val="26"/>
          <w:szCs w:val="26"/>
          <w:rtl/>
        </w:rPr>
        <w:t xml:space="preserve"> נדחית.</w:t>
      </w:r>
    </w:p>
    <w:p w:rsidR="00D238D3" w:rsidRDefault="00D238D3" w:rsidP="00B23C2E">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נוכח מסקנתי דלעיל, לא נדרשתי לטענות הצדדים בעניין פס"ד </w:t>
      </w:r>
      <w:r>
        <w:rPr>
          <w:rFonts w:ascii="David" w:hAnsi="David" w:cs="David"/>
          <w:b/>
          <w:bCs/>
          <w:sz w:val="26"/>
          <w:szCs w:val="26"/>
          <w:rtl/>
        </w:rPr>
        <w:t xml:space="preserve">ים </w:t>
      </w:r>
      <w:r w:rsidR="00B23C2E">
        <w:rPr>
          <w:rFonts w:ascii="David" w:hAnsi="David" w:cs="David" w:hint="cs"/>
          <w:b/>
          <w:bCs/>
          <w:sz w:val="26"/>
          <w:szCs w:val="26"/>
          <w:rtl/>
        </w:rPr>
        <w:t>מ</w:t>
      </w:r>
      <w:r>
        <w:rPr>
          <w:rFonts w:ascii="David" w:hAnsi="David" w:cs="David"/>
          <w:b/>
          <w:bCs/>
          <w:sz w:val="26"/>
          <w:szCs w:val="26"/>
          <w:rtl/>
        </w:rPr>
        <w:t>רין</w:t>
      </w:r>
      <w:r>
        <w:rPr>
          <w:rFonts w:ascii="David" w:hAnsi="David" w:cs="David"/>
          <w:sz w:val="26"/>
          <w:szCs w:val="26"/>
          <w:rtl/>
        </w:rPr>
        <w:t xml:space="preserve"> והיחס בינו לבין פס"ד </w:t>
      </w:r>
      <w:r>
        <w:rPr>
          <w:rFonts w:ascii="David" w:hAnsi="David" w:cs="David"/>
          <w:b/>
          <w:bCs/>
          <w:sz w:val="26"/>
          <w:szCs w:val="26"/>
          <w:rtl/>
        </w:rPr>
        <w:t>טכנו</w:t>
      </w:r>
      <w:r>
        <w:rPr>
          <w:rFonts w:ascii="David" w:hAnsi="David" w:cs="David"/>
          <w:sz w:val="26"/>
          <w:szCs w:val="26"/>
          <w:rtl/>
        </w:rPr>
        <w:t>, כמו גם שלא נדרשתי לטענת המשיב באשר לסוגיית הבטלות היחסית.</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 xml:space="preserve">נקבע לקדם משפט נוסף ליום </w:t>
      </w:r>
      <w:r w:rsidRPr="00B23C2E">
        <w:rPr>
          <w:rFonts w:ascii="David" w:hAnsi="David" w:cs="David"/>
          <w:b/>
          <w:bCs/>
          <w:sz w:val="26"/>
          <w:szCs w:val="26"/>
          <w:rtl/>
        </w:rPr>
        <w:t>3.7.2023 שעה 09:30</w:t>
      </w:r>
      <w:r>
        <w:rPr>
          <w:rFonts w:ascii="David" w:hAnsi="David" w:cs="David"/>
          <w:sz w:val="26"/>
          <w:szCs w:val="26"/>
          <w:rtl/>
        </w:rPr>
        <w:t>.</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המערערים יישאו, ביחד ולחוד, בהוצאות המשיב בסך כולל של 15,000 ₪ שישולמו בתוך 30 יום</w:t>
      </w:r>
      <w:r w:rsidR="00E12042">
        <w:rPr>
          <w:rFonts w:ascii="David" w:hAnsi="David" w:cs="David" w:hint="cs"/>
          <w:sz w:val="26"/>
          <w:szCs w:val="26"/>
          <w:rtl/>
        </w:rPr>
        <w:t>,</w:t>
      </w:r>
      <w:r>
        <w:rPr>
          <w:rFonts w:ascii="David" w:hAnsi="David" w:cs="David"/>
          <w:sz w:val="26"/>
          <w:szCs w:val="26"/>
          <w:rtl/>
        </w:rPr>
        <w:t xml:space="preserve"> שאם לא כן יישאו הפרשי הצמדה וריבית החל מהיום ועד למועד התשלום בפועל.</w:t>
      </w:r>
    </w:p>
    <w:p w:rsidR="00D238D3" w:rsidRDefault="00D238D3" w:rsidP="00D238D3">
      <w:pPr>
        <w:pStyle w:val="ad"/>
        <w:numPr>
          <w:ilvl w:val="0"/>
          <w:numId w:val="1"/>
        </w:numPr>
        <w:spacing w:before="240" w:after="0" w:line="360" w:lineRule="auto"/>
        <w:contextualSpacing w:val="0"/>
        <w:jc w:val="both"/>
        <w:rPr>
          <w:rFonts w:ascii="David" w:hAnsi="David" w:cs="David"/>
          <w:sz w:val="26"/>
          <w:szCs w:val="26"/>
        </w:rPr>
      </w:pPr>
      <w:r>
        <w:rPr>
          <w:rFonts w:ascii="David" w:hAnsi="David" w:cs="David"/>
          <w:sz w:val="26"/>
          <w:szCs w:val="26"/>
          <w:rtl/>
        </w:rPr>
        <w:t>פסק הדין מותר בפרסום.</w:t>
      </w:r>
    </w:p>
    <w:p w:rsidR="00694556" w:rsidRPr="00B95D6E" w:rsidRDefault="00694556" w:rsidP="00D238D3">
      <w:pPr>
        <w:spacing w:before="240" w:line="360" w:lineRule="auto"/>
        <w:jc w:val="both"/>
        <w:rPr>
          <w:rFonts w:ascii="Arial" w:hAnsi="Arial"/>
          <w:noProof w:val="0"/>
          <w:rtl/>
        </w:rPr>
      </w:pPr>
    </w:p>
    <w:p w:rsidR="00694556" w:rsidRPr="00B95D6E" w:rsidRDefault="00694556" w:rsidP="00D238D3">
      <w:pPr>
        <w:spacing w:before="240"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יוני 2023</w:t>
          </w:r>
        </w:sdtContent>
      </w:sdt>
      <w:r w:rsidR="00005C8B">
        <w:rPr>
          <w:rFonts w:ascii="Arial" w:hAnsi="Arial"/>
          <w:noProof w:val="0"/>
          <w:rtl/>
        </w:rPr>
        <w:t>, בהעדר הצדדים.</w:t>
      </w:r>
    </w:p>
    <w:p w:rsidR="00C43648" w:rsidRDefault="004C1FC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82705838"/>
        </w:sdtPr>
        <w:sdtEndPr/>
        <w:sdtContent>
          <w:r w:rsidR="00D27F2C">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FC5" w:rsidRDefault="004C1FC5">
      <w:r>
        <w:separator/>
      </w:r>
    </w:p>
  </w:endnote>
  <w:endnote w:type="continuationSeparator" w:id="0">
    <w:p w:rsidR="004C1FC5" w:rsidRDefault="004C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6FE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6FE5">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FC5" w:rsidRDefault="004C1FC5">
      <w:r>
        <w:separator/>
      </w:r>
    </w:p>
  </w:footnote>
  <w:footnote w:type="continuationSeparator" w:id="0">
    <w:p w:rsidR="004C1FC5" w:rsidRDefault="004C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C1FC5"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8382-12-20</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א אודי חברה קבלנית לבנין בעמ ואח' נ' רשות המיסים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C1B35"/>
    <w:multiLevelType w:val="multilevel"/>
    <w:tmpl w:val="0DF011D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230E8"/>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598"/>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1FC5"/>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06FE5"/>
    <w:rsid w:val="0061431B"/>
    <w:rsid w:val="00622BAA"/>
    <w:rsid w:val="006306CF"/>
    <w:rsid w:val="006318D8"/>
    <w:rsid w:val="00644E9A"/>
    <w:rsid w:val="00671BD5"/>
    <w:rsid w:val="006805C1"/>
    <w:rsid w:val="00686C21"/>
    <w:rsid w:val="006931C1"/>
    <w:rsid w:val="00694556"/>
    <w:rsid w:val="006B70C8"/>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A56D9"/>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860B8"/>
    <w:rsid w:val="00891F42"/>
    <w:rsid w:val="00896889"/>
    <w:rsid w:val="008A59EE"/>
    <w:rsid w:val="008A6E97"/>
    <w:rsid w:val="008C5714"/>
    <w:rsid w:val="008D10B2"/>
    <w:rsid w:val="00903896"/>
    <w:rsid w:val="00906F3D"/>
    <w:rsid w:val="0094424E"/>
    <w:rsid w:val="009464AD"/>
    <w:rsid w:val="00955642"/>
    <w:rsid w:val="009622DF"/>
    <w:rsid w:val="0096493F"/>
    <w:rsid w:val="00967DFF"/>
    <w:rsid w:val="00994341"/>
    <w:rsid w:val="009A2169"/>
    <w:rsid w:val="009A6E70"/>
    <w:rsid w:val="009D1A48"/>
    <w:rsid w:val="009D6080"/>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23C2E"/>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17239"/>
    <w:rsid w:val="00C22D93"/>
    <w:rsid w:val="00C23458"/>
    <w:rsid w:val="00C31120"/>
    <w:rsid w:val="00C34482"/>
    <w:rsid w:val="00C37DC5"/>
    <w:rsid w:val="00C43648"/>
    <w:rsid w:val="00C50A9F"/>
    <w:rsid w:val="00C642FA"/>
    <w:rsid w:val="00C738EB"/>
    <w:rsid w:val="00CC7622"/>
    <w:rsid w:val="00CD516B"/>
    <w:rsid w:val="00CD608F"/>
    <w:rsid w:val="00CE0084"/>
    <w:rsid w:val="00CF6BB7"/>
    <w:rsid w:val="00D04AA4"/>
    <w:rsid w:val="00D238D3"/>
    <w:rsid w:val="00D27982"/>
    <w:rsid w:val="00D27F2C"/>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12042"/>
    <w:rsid w:val="00E25884"/>
    <w:rsid w:val="00E25B55"/>
    <w:rsid w:val="00E31C2B"/>
    <w:rsid w:val="00E5426A"/>
    <w:rsid w:val="00E54642"/>
    <w:rsid w:val="00E80CBE"/>
    <w:rsid w:val="00E9269D"/>
    <w:rsid w:val="00E962E3"/>
    <w:rsid w:val="00EB6C79"/>
    <w:rsid w:val="00EC37E9"/>
    <w:rsid w:val="00ED18C6"/>
    <w:rsid w:val="00F038D8"/>
    <w:rsid w:val="00F06995"/>
    <w:rsid w:val="00F12D66"/>
    <w:rsid w:val="00F13623"/>
    <w:rsid w:val="00F352B9"/>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D238D3"/>
    <w:rPr>
      <w:color w:val="0000FF" w:themeColor="hyperlink"/>
      <w:u w:val="single"/>
    </w:rPr>
  </w:style>
  <w:style w:type="paragraph" w:styleId="ad">
    <w:name w:val="List Paragraph"/>
    <w:basedOn w:val="a"/>
    <w:uiPriority w:val="34"/>
    <w:qFormat/>
    <w:rsid w:val="00D238D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338268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813/77b.c"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72813/77b.c"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7535C" w:rsidP="0007535C">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2C38"/>
    <w:rsid w:val="00015B33"/>
    <w:rsid w:val="00060CF6"/>
    <w:rsid w:val="0007535C"/>
    <w:rsid w:val="000A4ACE"/>
    <w:rsid w:val="001A0763"/>
    <w:rsid w:val="002D02C4"/>
    <w:rsid w:val="00345C9D"/>
    <w:rsid w:val="0048651F"/>
    <w:rsid w:val="004B017A"/>
    <w:rsid w:val="005157ED"/>
    <w:rsid w:val="00556D67"/>
    <w:rsid w:val="00673B50"/>
    <w:rsid w:val="00786C44"/>
    <w:rsid w:val="00793995"/>
    <w:rsid w:val="007C6F98"/>
    <w:rsid w:val="007E254A"/>
    <w:rsid w:val="008B4366"/>
    <w:rsid w:val="009133C7"/>
    <w:rsid w:val="009178E4"/>
    <w:rsid w:val="00961B27"/>
    <w:rsid w:val="009A36E7"/>
    <w:rsid w:val="00AA7CE3"/>
    <w:rsid w:val="00AD4BC4"/>
    <w:rsid w:val="00B50DB2"/>
    <w:rsid w:val="00B72BC2"/>
    <w:rsid w:val="00B91FA3"/>
    <w:rsid w:val="00BD69D1"/>
    <w:rsid w:val="00BE6557"/>
    <w:rsid w:val="00C96C06"/>
    <w:rsid w:val="00D24521"/>
    <w:rsid w:val="00D6580E"/>
    <w:rsid w:val="00E31BF6"/>
    <w:rsid w:val="00E81DB1"/>
    <w:rsid w:val="00F04DC1"/>
    <w:rsid w:val="00F678CA"/>
    <w:rsid w:val="00F8496D"/>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535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07535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1822</Words>
  <Characters>9110</Characters>
  <Application>Microsoft Office Word</Application>
  <DocSecurity>0</DocSecurity>
  <Lines>75</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2023-06-22T13:04:00Z</dcterms:created>
  <dcterms:modified xsi:type="dcterms:W3CDTF">2023-06-22T13:04:00Z</dcterms:modified>
</cp:coreProperties>
</file>